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7937" w14:textId="5317F4EA" w:rsidR="00FE614F" w:rsidRPr="00FE7890" w:rsidRDefault="00004D58" w:rsidP="002111D3">
      <w:pPr>
        <w:tabs>
          <w:tab w:val="left" w:pos="1020"/>
        </w:tabs>
        <w:rPr>
          <w:rFonts w:ascii="Aptos" w:hAnsi="Aptos"/>
          <w:color w:val="262626" w:themeColor="text1" w:themeTint="D9"/>
          <w:sz w:val="22"/>
          <w:szCs w:val="22"/>
        </w:rPr>
      </w:pPr>
      <w:r w:rsidRPr="00FE7890">
        <w:rPr>
          <w:rFonts w:ascii="Aptos" w:hAnsi="Aptos"/>
          <w:color w:val="262626" w:themeColor="text1" w:themeTint="D9"/>
          <w:sz w:val="22"/>
          <w:szCs w:val="22"/>
        </w:rPr>
        <w:t xml:space="preserve"> </w:t>
      </w:r>
      <w:r w:rsidR="002111D3" w:rsidRPr="00FE7890">
        <w:rPr>
          <w:rFonts w:ascii="Aptos" w:hAnsi="Aptos"/>
          <w:color w:val="262626" w:themeColor="text1" w:themeTint="D9"/>
          <w:sz w:val="22"/>
          <w:szCs w:val="22"/>
        </w:rPr>
        <w:tab/>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949"/>
        <w:gridCol w:w="1125"/>
        <w:gridCol w:w="1031"/>
        <w:gridCol w:w="1125"/>
        <w:gridCol w:w="1431"/>
      </w:tblGrid>
      <w:tr w:rsidR="00172368" w:rsidRPr="00FE7890" w14:paraId="7EA2A136" w14:textId="77777777" w:rsidTr="3CDE1F19">
        <w:trPr>
          <w:trHeight w:val="436"/>
        </w:trPr>
        <w:tc>
          <w:tcPr>
            <w:tcW w:w="2399" w:type="dxa"/>
            <w:vAlign w:val="center"/>
          </w:tcPr>
          <w:p w14:paraId="177028FF" w14:textId="77777777" w:rsidR="00524E7C" w:rsidRPr="00FE7890" w:rsidRDefault="00524E7C" w:rsidP="00524E7C">
            <w:pPr>
              <w:rPr>
                <w:rFonts w:ascii="Aptos" w:hAnsi="Aptos"/>
                <w:b/>
                <w:bCs/>
                <w:color w:val="262626" w:themeColor="text1" w:themeTint="D9"/>
                <w:sz w:val="22"/>
                <w:szCs w:val="22"/>
              </w:rPr>
            </w:pPr>
            <w:r w:rsidRPr="00FE7890">
              <w:rPr>
                <w:rFonts w:ascii="Aptos" w:hAnsi="Aptos"/>
                <w:b/>
                <w:bCs/>
                <w:color w:val="262626" w:themeColor="text1" w:themeTint="D9"/>
                <w:sz w:val="22"/>
                <w:szCs w:val="22"/>
              </w:rPr>
              <w:t>JOB TITLE</w:t>
            </w:r>
          </w:p>
        </w:tc>
        <w:tc>
          <w:tcPr>
            <w:tcW w:w="7661" w:type="dxa"/>
            <w:gridSpan w:val="5"/>
            <w:vAlign w:val="center"/>
          </w:tcPr>
          <w:p w14:paraId="1A16FADD" w14:textId="71ED977D" w:rsidR="00524E7C" w:rsidRPr="00FE7890" w:rsidRDefault="00FA2433" w:rsidP="6C03452F">
            <w:pPr>
              <w:rPr>
                <w:rFonts w:ascii="Aptos" w:hAnsi="Aptos"/>
                <w:color w:val="262626" w:themeColor="text1" w:themeTint="D9"/>
                <w:sz w:val="22"/>
                <w:szCs w:val="22"/>
              </w:rPr>
            </w:pPr>
            <w:r w:rsidRPr="00FE7890">
              <w:rPr>
                <w:rFonts w:ascii="Aptos" w:hAnsi="Aptos"/>
                <w:color w:val="262626" w:themeColor="text1" w:themeTint="D9"/>
                <w:sz w:val="22"/>
                <w:szCs w:val="22"/>
              </w:rPr>
              <w:t xml:space="preserve">Senior Finance Manager </w:t>
            </w:r>
          </w:p>
        </w:tc>
      </w:tr>
      <w:tr w:rsidR="00172368" w:rsidRPr="00FE7890" w14:paraId="0CE11F85" w14:textId="77777777" w:rsidTr="3CDE1F19">
        <w:trPr>
          <w:trHeight w:val="500"/>
        </w:trPr>
        <w:tc>
          <w:tcPr>
            <w:tcW w:w="2399" w:type="dxa"/>
            <w:vAlign w:val="center"/>
          </w:tcPr>
          <w:p w14:paraId="400F85E9" w14:textId="77777777" w:rsidR="00524E7C" w:rsidRPr="00FE7890" w:rsidRDefault="00524E7C" w:rsidP="00524E7C">
            <w:pPr>
              <w:rPr>
                <w:rFonts w:ascii="Aptos" w:hAnsi="Aptos"/>
                <w:b/>
                <w:bCs/>
                <w:color w:val="262626" w:themeColor="text1" w:themeTint="D9"/>
                <w:sz w:val="22"/>
                <w:szCs w:val="22"/>
              </w:rPr>
            </w:pPr>
            <w:r w:rsidRPr="00FE7890">
              <w:rPr>
                <w:rFonts w:ascii="Aptos" w:hAnsi="Aptos"/>
                <w:b/>
                <w:bCs/>
                <w:color w:val="262626" w:themeColor="text1" w:themeTint="D9"/>
                <w:sz w:val="22"/>
                <w:szCs w:val="22"/>
              </w:rPr>
              <w:t>RESPONSIBLE TO</w:t>
            </w:r>
          </w:p>
        </w:tc>
        <w:tc>
          <w:tcPr>
            <w:tcW w:w="7661" w:type="dxa"/>
            <w:gridSpan w:val="5"/>
            <w:vAlign w:val="center"/>
          </w:tcPr>
          <w:p w14:paraId="2E9107B3" w14:textId="3AC1B00F" w:rsidR="00524E7C" w:rsidRPr="00FE7890" w:rsidRDefault="00FA2433" w:rsidP="46A47351">
            <w:pPr>
              <w:rPr>
                <w:rFonts w:ascii="Aptos" w:hAnsi="Aptos"/>
                <w:color w:val="262626" w:themeColor="text1" w:themeTint="D9"/>
                <w:sz w:val="22"/>
                <w:szCs w:val="22"/>
              </w:rPr>
            </w:pPr>
            <w:r w:rsidRPr="00FE7890">
              <w:rPr>
                <w:rFonts w:ascii="Aptos" w:hAnsi="Aptos"/>
                <w:color w:val="262626" w:themeColor="text1" w:themeTint="D9"/>
                <w:sz w:val="22"/>
                <w:szCs w:val="22"/>
              </w:rPr>
              <w:t>CFO</w:t>
            </w:r>
          </w:p>
        </w:tc>
      </w:tr>
      <w:tr w:rsidR="00172368" w:rsidRPr="00FE7890" w14:paraId="4E50F109" w14:textId="77777777" w:rsidTr="3CDE1F19">
        <w:trPr>
          <w:trHeight w:val="500"/>
        </w:trPr>
        <w:tc>
          <w:tcPr>
            <w:tcW w:w="2399" w:type="dxa"/>
            <w:vAlign w:val="center"/>
          </w:tcPr>
          <w:p w14:paraId="3382DB5A" w14:textId="77777777" w:rsidR="00524E7C" w:rsidRPr="00FE7890" w:rsidRDefault="00524E7C" w:rsidP="00524E7C">
            <w:pPr>
              <w:rPr>
                <w:rFonts w:ascii="Aptos" w:hAnsi="Aptos"/>
                <w:b/>
                <w:bCs/>
                <w:color w:val="262626" w:themeColor="text1" w:themeTint="D9"/>
                <w:sz w:val="22"/>
                <w:szCs w:val="22"/>
              </w:rPr>
            </w:pPr>
            <w:r w:rsidRPr="00FE7890">
              <w:rPr>
                <w:rFonts w:ascii="Aptos" w:hAnsi="Aptos"/>
                <w:b/>
                <w:bCs/>
                <w:color w:val="262626" w:themeColor="text1" w:themeTint="D9"/>
                <w:sz w:val="22"/>
                <w:szCs w:val="22"/>
              </w:rPr>
              <w:t>SUPERVISES</w:t>
            </w:r>
          </w:p>
        </w:tc>
        <w:tc>
          <w:tcPr>
            <w:tcW w:w="7661" w:type="dxa"/>
            <w:gridSpan w:val="5"/>
            <w:vAlign w:val="center"/>
          </w:tcPr>
          <w:p w14:paraId="3E25E1B7" w14:textId="0A47D88B" w:rsidR="00524E7C" w:rsidRPr="00FE7890" w:rsidRDefault="00FA2433" w:rsidP="00524E7C">
            <w:pPr>
              <w:rPr>
                <w:rFonts w:ascii="Aptos" w:hAnsi="Aptos"/>
                <w:color w:val="262626" w:themeColor="text1" w:themeTint="D9"/>
                <w:sz w:val="22"/>
                <w:szCs w:val="22"/>
              </w:rPr>
            </w:pPr>
            <w:r w:rsidRPr="00FE7890">
              <w:rPr>
                <w:rFonts w:ascii="Aptos" w:hAnsi="Aptos"/>
                <w:color w:val="262626" w:themeColor="text1" w:themeTint="D9"/>
                <w:sz w:val="22"/>
                <w:szCs w:val="22"/>
              </w:rPr>
              <w:t>Finance Managers</w:t>
            </w:r>
            <w:r w:rsidR="007E1F17">
              <w:rPr>
                <w:rFonts w:ascii="Aptos" w:hAnsi="Aptos"/>
                <w:color w:val="262626" w:themeColor="text1" w:themeTint="D9"/>
                <w:sz w:val="22"/>
                <w:szCs w:val="22"/>
              </w:rPr>
              <w:t xml:space="preserve">, Finance Administrator </w:t>
            </w:r>
          </w:p>
        </w:tc>
      </w:tr>
      <w:tr w:rsidR="00524E7C" w:rsidRPr="00FE7890" w14:paraId="06AAEFF9" w14:textId="77777777" w:rsidTr="3CDE1F19">
        <w:trPr>
          <w:trHeight w:val="500"/>
        </w:trPr>
        <w:tc>
          <w:tcPr>
            <w:tcW w:w="2399" w:type="dxa"/>
            <w:vAlign w:val="center"/>
          </w:tcPr>
          <w:p w14:paraId="123BD205" w14:textId="77777777" w:rsidR="00524E7C" w:rsidRPr="00FE7890" w:rsidRDefault="00524E7C" w:rsidP="00524E7C">
            <w:pPr>
              <w:rPr>
                <w:rFonts w:ascii="Aptos" w:hAnsi="Aptos"/>
                <w:b/>
                <w:bCs/>
                <w:color w:val="262626" w:themeColor="text1" w:themeTint="D9"/>
                <w:sz w:val="22"/>
                <w:szCs w:val="22"/>
              </w:rPr>
            </w:pPr>
            <w:r w:rsidRPr="00FE7890">
              <w:rPr>
                <w:rFonts w:ascii="Aptos" w:hAnsi="Aptos"/>
                <w:b/>
                <w:bCs/>
                <w:color w:val="262626" w:themeColor="text1" w:themeTint="D9"/>
                <w:sz w:val="22"/>
                <w:szCs w:val="22"/>
              </w:rPr>
              <w:t>GRADE</w:t>
            </w:r>
          </w:p>
        </w:tc>
        <w:tc>
          <w:tcPr>
            <w:tcW w:w="2949" w:type="dxa"/>
            <w:vAlign w:val="center"/>
          </w:tcPr>
          <w:p w14:paraId="1BF4C4F0" w14:textId="78E2FE1D" w:rsidR="00524E7C" w:rsidRPr="00FE7890" w:rsidRDefault="00FA2433" w:rsidP="00524E7C">
            <w:pPr>
              <w:rPr>
                <w:rFonts w:ascii="Aptos" w:hAnsi="Aptos"/>
                <w:color w:val="262626" w:themeColor="text1" w:themeTint="D9"/>
                <w:sz w:val="22"/>
                <w:szCs w:val="22"/>
              </w:rPr>
            </w:pPr>
            <w:r w:rsidRPr="00FE7890">
              <w:rPr>
                <w:rFonts w:ascii="Aptos" w:hAnsi="Aptos"/>
                <w:color w:val="262626" w:themeColor="text1" w:themeTint="D9"/>
                <w:sz w:val="22"/>
                <w:szCs w:val="22"/>
              </w:rPr>
              <w:t>10</w:t>
            </w:r>
          </w:p>
        </w:tc>
        <w:tc>
          <w:tcPr>
            <w:tcW w:w="1125" w:type="dxa"/>
            <w:vAlign w:val="center"/>
          </w:tcPr>
          <w:p w14:paraId="1833EABB" w14:textId="1E35CE84" w:rsidR="00524E7C" w:rsidRPr="00FE7890" w:rsidRDefault="00172368" w:rsidP="00524E7C">
            <w:pPr>
              <w:rPr>
                <w:rFonts w:ascii="Aptos" w:hAnsi="Aptos"/>
                <w:color w:val="262626" w:themeColor="text1" w:themeTint="D9"/>
                <w:sz w:val="22"/>
                <w:szCs w:val="22"/>
              </w:rPr>
            </w:pPr>
            <w:r w:rsidRPr="00FE7890">
              <w:rPr>
                <w:rFonts w:ascii="Aptos" w:hAnsi="Aptos"/>
                <w:b/>
                <w:bCs/>
                <w:color w:val="262626" w:themeColor="text1" w:themeTint="D9"/>
                <w:sz w:val="22"/>
                <w:szCs w:val="22"/>
              </w:rPr>
              <w:t>HOURS</w:t>
            </w:r>
          </w:p>
        </w:tc>
        <w:tc>
          <w:tcPr>
            <w:tcW w:w="1031" w:type="dxa"/>
            <w:vAlign w:val="center"/>
          </w:tcPr>
          <w:p w14:paraId="1AC0BC9C" w14:textId="049ED1E9" w:rsidR="00524E7C" w:rsidRPr="00FE7890" w:rsidRDefault="00FA2433" w:rsidP="00524E7C">
            <w:pPr>
              <w:rPr>
                <w:rFonts w:ascii="Aptos" w:hAnsi="Aptos"/>
                <w:color w:val="262626" w:themeColor="text1" w:themeTint="D9"/>
                <w:sz w:val="22"/>
                <w:szCs w:val="22"/>
              </w:rPr>
            </w:pPr>
            <w:r w:rsidRPr="00FE7890">
              <w:rPr>
                <w:rFonts w:ascii="Aptos" w:hAnsi="Aptos"/>
                <w:color w:val="262626" w:themeColor="text1" w:themeTint="D9"/>
                <w:sz w:val="22"/>
                <w:szCs w:val="22"/>
              </w:rPr>
              <w:t>37</w:t>
            </w:r>
          </w:p>
        </w:tc>
        <w:tc>
          <w:tcPr>
            <w:tcW w:w="1125" w:type="dxa"/>
            <w:vAlign w:val="center"/>
          </w:tcPr>
          <w:p w14:paraId="6F107ABF" w14:textId="684BD942" w:rsidR="00524E7C" w:rsidRPr="00FE7890" w:rsidRDefault="00172368" w:rsidP="00524E7C">
            <w:pPr>
              <w:rPr>
                <w:rFonts w:ascii="Aptos" w:hAnsi="Aptos"/>
                <w:color w:val="262626" w:themeColor="text1" w:themeTint="D9"/>
                <w:sz w:val="22"/>
                <w:szCs w:val="22"/>
              </w:rPr>
            </w:pPr>
            <w:r w:rsidRPr="00FE7890">
              <w:rPr>
                <w:rFonts w:ascii="Aptos" w:hAnsi="Aptos"/>
                <w:b/>
                <w:bCs/>
                <w:color w:val="262626" w:themeColor="text1" w:themeTint="D9"/>
                <w:sz w:val="22"/>
                <w:szCs w:val="22"/>
              </w:rPr>
              <w:t>WEEKS</w:t>
            </w:r>
          </w:p>
        </w:tc>
        <w:tc>
          <w:tcPr>
            <w:tcW w:w="1431" w:type="dxa"/>
            <w:vAlign w:val="center"/>
          </w:tcPr>
          <w:p w14:paraId="6641D590" w14:textId="3DA644FF" w:rsidR="00524E7C" w:rsidRPr="00FE7890" w:rsidRDefault="00FA2433" w:rsidP="00524E7C">
            <w:pPr>
              <w:rPr>
                <w:rFonts w:ascii="Aptos" w:hAnsi="Aptos"/>
                <w:color w:val="262626" w:themeColor="text1" w:themeTint="D9"/>
                <w:sz w:val="22"/>
                <w:szCs w:val="22"/>
              </w:rPr>
            </w:pPr>
            <w:r w:rsidRPr="00FE7890">
              <w:rPr>
                <w:rFonts w:ascii="Aptos" w:hAnsi="Aptos"/>
                <w:color w:val="262626" w:themeColor="text1" w:themeTint="D9"/>
                <w:sz w:val="22"/>
                <w:szCs w:val="22"/>
              </w:rPr>
              <w:t>52</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6"/>
      </w:tblGrid>
      <w:tr w:rsidR="00172368" w:rsidRPr="00FE7890" w14:paraId="1F0FF82D" w14:textId="77777777" w:rsidTr="007E1F17">
        <w:tc>
          <w:tcPr>
            <w:tcW w:w="10036" w:type="dxa"/>
          </w:tcPr>
          <w:p w14:paraId="01A4ED1C" w14:textId="77777777" w:rsidR="00333FBF" w:rsidRPr="00FE7890" w:rsidRDefault="00333FBF" w:rsidP="00663DB0">
            <w:pPr>
              <w:rPr>
                <w:rFonts w:ascii="Aptos" w:hAnsi="Aptos"/>
                <w:b/>
                <w:bCs/>
                <w:color w:val="262626" w:themeColor="text1" w:themeTint="D9"/>
                <w:sz w:val="22"/>
                <w:szCs w:val="22"/>
              </w:rPr>
            </w:pPr>
          </w:p>
          <w:p w14:paraId="16B0141C" w14:textId="77777777" w:rsidR="005F405B" w:rsidRDefault="0DFB17B6" w:rsidP="007E1F17">
            <w:pPr>
              <w:rPr>
                <w:rFonts w:ascii="Aptos" w:hAnsi="Aptos"/>
                <w:b/>
                <w:bCs/>
                <w:color w:val="262626" w:themeColor="text1" w:themeTint="D9"/>
                <w:sz w:val="22"/>
                <w:szCs w:val="22"/>
              </w:rPr>
            </w:pPr>
            <w:r w:rsidRPr="00FE7890">
              <w:rPr>
                <w:rFonts w:ascii="Aptos" w:hAnsi="Aptos"/>
                <w:b/>
                <w:bCs/>
                <w:color w:val="262626" w:themeColor="text1" w:themeTint="D9"/>
                <w:sz w:val="22"/>
                <w:szCs w:val="22"/>
              </w:rPr>
              <w:t>JOB PURPOSE</w:t>
            </w:r>
          </w:p>
          <w:p w14:paraId="2A73299B" w14:textId="7A1A6AF1" w:rsidR="007E1F17" w:rsidRPr="00FE7890" w:rsidRDefault="007E1F17" w:rsidP="007E1F17">
            <w:pPr>
              <w:rPr>
                <w:rFonts w:ascii="Aptos" w:hAnsi="Aptos"/>
                <w:b/>
                <w:bCs/>
                <w:color w:val="262626" w:themeColor="text1" w:themeTint="D9"/>
                <w:sz w:val="22"/>
                <w:szCs w:val="22"/>
              </w:rPr>
            </w:pPr>
          </w:p>
        </w:tc>
      </w:tr>
      <w:tr w:rsidR="005F405B" w:rsidRPr="00FE7890" w14:paraId="2AC01F67" w14:textId="77777777" w:rsidTr="007E1F17">
        <w:tc>
          <w:tcPr>
            <w:tcW w:w="10036" w:type="dxa"/>
          </w:tcPr>
          <w:p w14:paraId="5B3210EC" w14:textId="359D0106" w:rsidR="005F405B" w:rsidRPr="00FE7890" w:rsidRDefault="00A569C2" w:rsidP="007E1F17">
            <w:pPr>
              <w:spacing w:after="160" w:line="278" w:lineRule="auto"/>
              <w:rPr>
                <w:rFonts w:ascii="Aptos" w:hAnsi="Aptos"/>
                <w:color w:val="262626" w:themeColor="text1" w:themeTint="D9"/>
                <w:sz w:val="22"/>
                <w:szCs w:val="22"/>
              </w:rPr>
            </w:pPr>
            <w:r w:rsidRPr="00AE4D10">
              <w:rPr>
                <w:sz w:val="22"/>
                <w:szCs w:val="22"/>
              </w:rPr>
              <w:t>To lead the day-to-day operational finance function of the Trust, ensuring robust financial management across all 11 academies. The Senior Finance Manager will support the CFO in strategic planning, compliance, and reporting, and will play a key role in embedding strong financial controls and best practice across the Trust.</w:t>
            </w:r>
          </w:p>
        </w:tc>
      </w:tr>
    </w:tbl>
    <w:p w14:paraId="6CCCD9F3" w14:textId="77777777" w:rsidR="009F7722" w:rsidRPr="00FE7890" w:rsidRDefault="00015D4D" w:rsidP="00663DB0">
      <w:pPr>
        <w:rPr>
          <w:rFonts w:ascii="Aptos" w:hAnsi="Aptos"/>
          <w:b/>
          <w:color w:val="262626" w:themeColor="text1" w:themeTint="D9"/>
          <w:sz w:val="22"/>
          <w:szCs w:val="22"/>
        </w:rPr>
      </w:pPr>
      <w:r w:rsidRPr="00FE7890">
        <w:rPr>
          <w:rFonts w:ascii="Aptos" w:hAnsi="Aptos"/>
          <w:b/>
          <w:color w:val="262626" w:themeColor="text1" w:themeTint="D9"/>
          <w:sz w:val="22"/>
          <w:szCs w:val="22"/>
        </w:rPr>
        <w:t>MAIN RESPONSIBILITIES</w:t>
      </w:r>
    </w:p>
    <w:p w14:paraId="4C19CB16" w14:textId="77777777" w:rsidR="00614F26" w:rsidRPr="00FE7890" w:rsidRDefault="00614F26" w:rsidP="00663DB0">
      <w:pPr>
        <w:rPr>
          <w:rFonts w:ascii="Aptos" w:hAnsi="Aptos"/>
          <w:b/>
          <w:color w:val="262626" w:themeColor="text1" w:themeTint="D9"/>
          <w:sz w:val="22"/>
          <w:szCs w:val="22"/>
        </w:rPr>
      </w:pPr>
    </w:p>
    <w:tbl>
      <w:tblPr>
        <w:tblStyle w:val="TableGrid"/>
        <w:tblW w:w="0" w:type="auto"/>
        <w:tblLayout w:type="fixed"/>
        <w:tblLook w:val="06A0" w:firstRow="1" w:lastRow="0" w:firstColumn="1" w:lastColumn="0" w:noHBand="1" w:noVBand="1"/>
      </w:tblPr>
      <w:tblGrid>
        <w:gridCol w:w="10035"/>
      </w:tblGrid>
      <w:tr w:rsidR="630D0674" w:rsidRPr="00FE7890" w14:paraId="2F732E70" w14:textId="77777777" w:rsidTr="3CDE1F19">
        <w:trPr>
          <w:trHeight w:val="300"/>
        </w:trPr>
        <w:tc>
          <w:tcPr>
            <w:tcW w:w="10035" w:type="dxa"/>
          </w:tcPr>
          <w:p w14:paraId="7DDC4FFC" w14:textId="0CFABE81" w:rsidR="630D0674" w:rsidRPr="00FE7890" w:rsidRDefault="00C864B4" w:rsidP="004073BE">
            <w:pPr>
              <w:rPr>
                <w:rFonts w:ascii="Aptos" w:hAnsi="Aptos"/>
                <w:b/>
                <w:bCs/>
                <w:color w:val="262626" w:themeColor="text1" w:themeTint="D9"/>
                <w:sz w:val="22"/>
                <w:szCs w:val="22"/>
              </w:rPr>
            </w:pPr>
            <w:r w:rsidRPr="00AE4D10">
              <w:rPr>
                <w:rFonts w:ascii="Aptos" w:hAnsi="Aptos"/>
                <w:b/>
                <w:bCs/>
                <w:sz w:val="22"/>
                <w:szCs w:val="22"/>
              </w:rPr>
              <w:t>Strategic Financial Management</w:t>
            </w:r>
          </w:p>
        </w:tc>
      </w:tr>
      <w:tr w:rsidR="630D0674" w:rsidRPr="00FE7890" w14:paraId="2CB15F64" w14:textId="77777777" w:rsidTr="3CDE1F19">
        <w:trPr>
          <w:trHeight w:val="300"/>
        </w:trPr>
        <w:tc>
          <w:tcPr>
            <w:tcW w:w="10035" w:type="dxa"/>
          </w:tcPr>
          <w:p w14:paraId="3536DCEA" w14:textId="77777777" w:rsidR="004073BE" w:rsidRPr="00FE7890" w:rsidRDefault="001A5277" w:rsidP="004073BE">
            <w:pPr>
              <w:numPr>
                <w:ilvl w:val="0"/>
                <w:numId w:val="10"/>
              </w:numPr>
              <w:rPr>
                <w:rFonts w:ascii="Aptos" w:hAnsi="Aptos"/>
                <w:sz w:val="22"/>
                <w:szCs w:val="22"/>
              </w:rPr>
            </w:pPr>
            <w:r w:rsidRPr="00AE4D10">
              <w:rPr>
                <w:rFonts w:ascii="Aptos" w:hAnsi="Aptos"/>
                <w:sz w:val="22"/>
                <w:szCs w:val="22"/>
              </w:rPr>
              <w:t>Support the CFO in developing and delivering the Trust’s long-term financial strategy</w:t>
            </w:r>
          </w:p>
          <w:p w14:paraId="46D33FEE" w14:textId="10B4C060" w:rsidR="001A5277" w:rsidRPr="00AE4D10" w:rsidRDefault="001A5277" w:rsidP="004073BE">
            <w:pPr>
              <w:numPr>
                <w:ilvl w:val="0"/>
                <w:numId w:val="10"/>
              </w:numPr>
              <w:rPr>
                <w:rFonts w:ascii="Aptos" w:hAnsi="Aptos"/>
                <w:sz w:val="22"/>
                <w:szCs w:val="22"/>
              </w:rPr>
            </w:pPr>
            <w:r w:rsidRPr="00AE4D10">
              <w:rPr>
                <w:rFonts w:ascii="Aptos" w:hAnsi="Aptos"/>
                <w:sz w:val="22"/>
                <w:szCs w:val="22"/>
              </w:rPr>
              <w:t>Lead on medium- and long-term financial forecasting and scenario planning</w:t>
            </w:r>
          </w:p>
          <w:p w14:paraId="09695B2F" w14:textId="0144DFCC" w:rsidR="630D0674" w:rsidRPr="00FE7890" w:rsidRDefault="001A5277" w:rsidP="004073BE">
            <w:pPr>
              <w:numPr>
                <w:ilvl w:val="0"/>
                <w:numId w:val="10"/>
              </w:numPr>
              <w:rPr>
                <w:rFonts w:ascii="Aptos" w:hAnsi="Aptos"/>
                <w:b/>
                <w:bCs/>
                <w:color w:val="262626" w:themeColor="text1" w:themeTint="D9"/>
                <w:sz w:val="22"/>
                <w:szCs w:val="22"/>
              </w:rPr>
            </w:pPr>
            <w:r w:rsidRPr="00AE4D10">
              <w:rPr>
                <w:rFonts w:ascii="Aptos" w:hAnsi="Aptos"/>
                <w:sz w:val="22"/>
                <w:szCs w:val="22"/>
              </w:rPr>
              <w:t>Contribute to the development of annual budgets across the Trust and monitor performance against them</w:t>
            </w:r>
          </w:p>
        </w:tc>
      </w:tr>
      <w:tr w:rsidR="630D0674" w:rsidRPr="00FE7890" w14:paraId="616E3A2B" w14:textId="77777777" w:rsidTr="3CDE1F19">
        <w:trPr>
          <w:trHeight w:val="300"/>
        </w:trPr>
        <w:tc>
          <w:tcPr>
            <w:tcW w:w="10035" w:type="dxa"/>
          </w:tcPr>
          <w:p w14:paraId="3EEE177D" w14:textId="45158D44" w:rsidR="630D0674" w:rsidRPr="00FE7890" w:rsidRDefault="0084203C" w:rsidP="004073BE">
            <w:pPr>
              <w:rPr>
                <w:rFonts w:ascii="Aptos" w:hAnsi="Aptos"/>
                <w:b/>
                <w:bCs/>
                <w:color w:val="262626" w:themeColor="text1" w:themeTint="D9"/>
                <w:sz w:val="22"/>
                <w:szCs w:val="22"/>
              </w:rPr>
            </w:pPr>
            <w:r w:rsidRPr="00AE4D10">
              <w:rPr>
                <w:rFonts w:ascii="Aptos" w:hAnsi="Aptos"/>
                <w:b/>
                <w:bCs/>
                <w:sz w:val="22"/>
                <w:szCs w:val="22"/>
              </w:rPr>
              <w:t>Financial Reporting and Compliance</w:t>
            </w:r>
          </w:p>
        </w:tc>
      </w:tr>
      <w:tr w:rsidR="630D0674" w:rsidRPr="00FE7890" w14:paraId="11B4F582" w14:textId="77777777" w:rsidTr="3CDE1F19">
        <w:trPr>
          <w:trHeight w:val="300"/>
        </w:trPr>
        <w:tc>
          <w:tcPr>
            <w:tcW w:w="10035" w:type="dxa"/>
          </w:tcPr>
          <w:p w14:paraId="460C5F28" w14:textId="3C9DB1CF" w:rsidR="0019761F" w:rsidRPr="00AE4D10" w:rsidRDefault="0019761F" w:rsidP="004073BE">
            <w:pPr>
              <w:numPr>
                <w:ilvl w:val="0"/>
                <w:numId w:val="11"/>
              </w:numPr>
              <w:rPr>
                <w:rFonts w:ascii="Aptos" w:hAnsi="Aptos"/>
                <w:sz w:val="22"/>
                <w:szCs w:val="22"/>
              </w:rPr>
            </w:pPr>
            <w:r w:rsidRPr="00AE4D10">
              <w:rPr>
                <w:rFonts w:ascii="Aptos" w:hAnsi="Aptos"/>
                <w:sz w:val="22"/>
                <w:szCs w:val="22"/>
              </w:rPr>
              <w:t xml:space="preserve">Produce accurate monthly management accounts, forecasts, and variance analyses </w:t>
            </w:r>
          </w:p>
          <w:p w14:paraId="63AB65B5" w14:textId="3819ACCE" w:rsidR="0019761F" w:rsidRPr="00AE4D10" w:rsidRDefault="0019761F" w:rsidP="004073BE">
            <w:pPr>
              <w:numPr>
                <w:ilvl w:val="0"/>
                <w:numId w:val="11"/>
              </w:numPr>
              <w:rPr>
                <w:rFonts w:ascii="Aptos" w:hAnsi="Aptos"/>
                <w:sz w:val="22"/>
                <w:szCs w:val="22"/>
              </w:rPr>
            </w:pPr>
            <w:r w:rsidRPr="00AE4D10">
              <w:rPr>
                <w:rFonts w:ascii="Aptos" w:hAnsi="Aptos"/>
                <w:sz w:val="22"/>
                <w:szCs w:val="22"/>
              </w:rPr>
              <w:t>Ensure timely preparation f</w:t>
            </w:r>
            <w:r w:rsidR="004C4975">
              <w:rPr>
                <w:rFonts w:ascii="Aptos" w:hAnsi="Aptos"/>
                <w:sz w:val="22"/>
                <w:szCs w:val="22"/>
              </w:rPr>
              <w:t>or</w:t>
            </w:r>
            <w:r w:rsidRPr="00AE4D10">
              <w:rPr>
                <w:rFonts w:ascii="Aptos" w:hAnsi="Aptos"/>
                <w:sz w:val="22"/>
                <w:szCs w:val="22"/>
              </w:rPr>
              <w:t xml:space="preserve"> statutory accounts and year-end audit packs</w:t>
            </w:r>
          </w:p>
          <w:p w14:paraId="4169CB56" w14:textId="54EE2EB3" w:rsidR="0019761F" w:rsidRPr="00AE4D10" w:rsidRDefault="0019761F" w:rsidP="004073BE">
            <w:pPr>
              <w:numPr>
                <w:ilvl w:val="0"/>
                <w:numId w:val="11"/>
              </w:numPr>
              <w:rPr>
                <w:rFonts w:ascii="Aptos" w:hAnsi="Aptos"/>
                <w:sz w:val="22"/>
                <w:szCs w:val="22"/>
              </w:rPr>
            </w:pPr>
            <w:r w:rsidRPr="00AE4D10">
              <w:rPr>
                <w:rFonts w:ascii="Aptos" w:hAnsi="Aptos"/>
                <w:sz w:val="22"/>
                <w:szCs w:val="22"/>
              </w:rPr>
              <w:t>Assist with the preparation of DfE/ESFA returns, including the AAR, BFR, and BFRO</w:t>
            </w:r>
          </w:p>
          <w:p w14:paraId="0EDB0A93" w14:textId="77777777" w:rsidR="630D0674" w:rsidRPr="005C5BB8" w:rsidRDefault="0019761F" w:rsidP="005E574F">
            <w:pPr>
              <w:numPr>
                <w:ilvl w:val="0"/>
                <w:numId w:val="11"/>
              </w:numPr>
              <w:rPr>
                <w:rFonts w:ascii="Aptos" w:hAnsi="Aptos"/>
                <w:b/>
                <w:bCs/>
                <w:color w:val="262626" w:themeColor="text1" w:themeTint="D9"/>
                <w:sz w:val="22"/>
                <w:szCs w:val="22"/>
              </w:rPr>
            </w:pPr>
            <w:r w:rsidRPr="00AE4D10">
              <w:rPr>
                <w:rFonts w:ascii="Aptos" w:hAnsi="Aptos"/>
                <w:sz w:val="22"/>
                <w:szCs w:val="22"/>
              </w:rPr>
              <w:t>Maintain compliance with the Academies Financial Handbook and all statutory financial reporting requirements</w:t>
            </w:r>
          </w:p>
          <w:p w14:paraId="0C8B436F" w14:textId="7AEE9BBA" w:rsidR="005C5BB8" w:rsidRPr="00FE7890" w:rsidRDefault="005C5BB8" w:rsidP="005E574F">
            <w:pPr>
              <w:numPr>
                <w:ilvl w:val="0"/>
                <w:numId w:val="11"/>
              </w:numPr>
              <w:rPr>
                <w:rFonts w:ascii="Aptos" w:hAnsi="Aptos"/>
                <w:b/>
                <w:bCs/>
                <w:color w:val="262626" w:themeColor="text1" w:themeTint="D9"/>
                <w:sz w:val="22"/>
                <w:szCs w:val="22"/>
              </w:rPr>
            </w:pPr>
            <w:r>
              <w:rPr>
                <w:rFonts w:ascii="Aptos" w:hAnsi="Aptos"/>
                <w:color w:val="262626" w:themeColor="text1" w:themeTint="D9"/>
                <w:sz w:val="22"/>
                <w:szCs w:val="22"/>
              </w:rPr>
              <w:t xml:space="preserve">Prepare and present </w:t>
            </w:r>
            <w:r w:rsidR="00973447">
              <w:rPr>
                <w:rFonts w:ascii="Aptos" w:hAnsi="Aptos"/>
                <w:color w:val="262626" w:themeColor="text1" w:themeTint="D9"/>
                <w:sz w:val="22"/>
                <w:szCs w:val="22"/>
              </w:rPr>
              <w:t>to Trustees</w:t>
            </w:r>
          </w:p>
        </w:tc>
      </w:tr>
      <w:tr w:rsidR="630D0674" w:rsidRPr="00FE7890" w14:paraId="605D5FE8" w14:textId="77777777" w:rsidTr="3CDE1F19">
        <w:trPr>
          <w:trHeight w:val="300"/>
        </w:trPr>
        <w:tc>
          <w:tcPr>
            <w:tcW w:w="10035" w:type="dxa"/>
          </w:tcPr>
          <w:p w14:paraId="21A2ABB5" w14:textId="1DDC5466" w:rsidR="630D0674" w:rsidRPr="00FE7890" w:rsidRDefault="006C0C26" w:rsidP="004073BE">
            <w:pPr>
              <w:rPr>
                <w:rFonts w:ascii="Aptos" w:hAnsi="Aptos"/>
                <w:b/>
                <w:bCs/>
                <w:color w:val="262626" w:themeColor="text1" w:themeTint="D9"/>
                <w:sz w:val="22"/>
                <w:szCs w:val="22"/>
              </w:rPr>
            </w:pPr>
            <w:r w:rsidRPr="00AE4D10">
              <w:rPr>
                <w:rFonts w:ascii="Aptos" w:hAnsi="Aptos"/>
                <w:b/>
                <w:bCs/>
                <w:sz w:val="22"/>
                <w:szCs w:val="22"/>
              </w:rPr>
              <w:t>Budgeting and Financial Planning</w:t>
            </w:r>
          </w:p>
        </w:tc>
      </w:tr>
      <w:tr w:rsidR="006C0C26" w:rsidRPr="00FE7890" w14:paraId="0294CD58" w14:textId="77777777" w:rsidTr="3CDE1F19">
        <w:trPr>
          <w:trHeight w:val="300"/>
        </w:trPr>
        <w:tc>
          <w:tcPr>
            <w:tcW w:w="10035" w:type="dxa"/>
            <w:vAlign w:val="center"/>
          </w:tcPr>
          <w:p w14:paraId="4767A72A" w14:textId="27B9405F" w:rsidR="000909DF" w:rsidRPr="00AE4D10" w:rsidRDefault="000909DF" w:rsidP="004073BE">
            <w:pPr>
              <w:numPr>
                <w:ilvl w:val="0"/>
                <w:numId w:val="12"/>
              </w:numPr>
              <w:rPr>
                <w:rFonts w:ascii="Aptos" w:hAnsi="Aptos"/>
                <w:sz w:val="22"/>
                <w:szCs w:val="22"/>
              </w:rPr>
            </w:pPr>
            <w:r w:rsidRPr="00AE4D10">
              <w:rPr>
                <w:rFonts w:ascii="Aptos" w:hAnsi="Aptos"/>
                <w:sz w:val="22"/>
                <w:szCs w:val="22"/>
              </w:rPr>
              <w:t>Oversee the preparation of annual budgets with Headteachers and School Business Managers (SBMs), ensuring alignment with Trust priorities</w:t>
            </w:r>
          </w:p>
          <w:p w14:paraId="6E84DD6E" w14:textId="08E750E2" w:rsidR="000909DF" w:rsidRPr="00AE4D10" w:rsidRDefault="000909DF" w:rsidP="004073BE">
            <w:pPr>
              <w:numPr>
                <w:ilvl w:val="0"/>
                <w:numId w:val="12"/>
              </w:numPr>
              <w:rPr>
                <w:rFonts w:ascii="Aptos" w:hAnsi="Aptos"/>
                <w:sz w:val="22"/>
                <w:szCs w:val="22"/>
              </w:rPr>
            </w:pPr>
            <w:r w:rsidRPr="00AE4D10">
              <w:rPr>
                <w:rFonts w:ascii="Aptos" w:hAnsi="Aptos"/>
                <w:sz w:val="22"/>
                <w:szCs w:val="22"/>
              </w:rPr>
              <w:t>Monitor expenditure and income against budgets and highlight key variances</w:t>
            </w:r>
          </w:p>
          <w:p w14:paraId="44476905" w14:textId="2D16B5CF" w:rsidR="006C0C26" w:rsidRPr="00FE7890" w:rsidRDefault="000909DF" w:rsidP="005E574F">
            <w:pPr>
              <w:numPr>
                <w:ilvl w:val="0"/>
                <w:numId w:val="12"/>
              </w:numPr>
              <w:rPr>
                <w:rStyle w:val="normaltextrun"/>
                <w:rFonts w:ascii="Aptos" w:hAnsi="Aptos"/>
                <w:sz w:val="22"/>
                <w:szCs w:val="22"/>
              </w:rPr>
            </w:pPr>
            <w:r w:rsidRPr="00AE4D10">
              <w:rPr>
                <w:rFonts w:ascii="Aptos" w:hAnsi="Aptos"/>
                <w:sz w:val="22"/>
                <w:szCs w:val="22"/>
              </w:rPr>
              <w:t>Provide financial modelling and costing for new initiatives, capital bids, and expansion plans</w:t>
            </w:r>
          </w:p>
        </w:tc>
      </w:tr>
      <w:tr w:rsidR="006C0C26" w:rsidRPr="00FE7890" w14:paraId="22A1595B" w14:textId="77777777" w:rsidTr="3CDE1F19">
        <w:trPr>
          <w:trHeight w:val="300"/>
        </w:trPr>
        <w:tc>
          <w:tcPr>
            <w:tcW w:w="10035" w:type="dxa"/>
            <w:vAlign w:val="center"/>
          </w:tcPr>
          <w:p w14:paraId="21966B5B" w14:textId="749C10CD" w:rsidR="006C0C26" w:rsidRPr="00FE7890" w:rsidRDefault="00523296" w:rsidP="004073BE">
            <w:pPr>
              <w:rPr>
                <w:rStyle w:val="normaltextrun"/>
                <w:rFonts w:ascii="Aptos" w:hAnsi="Aptos"/>
                <w:sz w:val="22"/>
                <w:szCs w:val="22"/>
              </w:rPr>
            </w:pPr>
            <w:r w:rsidRPr="00AE4D10">
              <w:rPr>
                <w:rFonts w:ascii="Aptos" w:hAnsi="Aptos"/>
                <w:b/>
                <w:bCs/>
                <w:sz w:val="22"/>
                <w:szCs w:val="22"/>
              </w:rPr>
              <w:t>Financial Operations and Control</w:t>
            </w:r>
          </w:p>
        </w:tc>
      </w:tr>
      <w:tr w:rsidR="006C0C26" w:rsidRPr="00FE7890" w14:paraId="1410EA7A" w14:textId="77777777" w:rsidTr="3CDE1F19">
        <w:trPr>
          <w:trHeight w:val="300"/>
        </w:trPr>
        <w:tc>
          <w:tcPr>
            <w:tcW w:w="10035" w:type="dxa"/>
            <w:vAlign w:val="center"/>
          </w:tcPr>
          <w:p w14:paraId="7F5FB58F" w14:textId="5B499985" w:rsidR="00A831C5" w:rsidRPr="00AE4D10" w:rsidRDefault="00A831C5" w:rsidP="004073BE">
            <w:pPr>
              <w:numPr>
                <w:ilvl w:val="0"/>
                <w:numId w:val="13"/>
              </w:numPr>
              <w:rPr>
                <w:rFonts w:ascii="Aptos" w:hAnsi="Aptos"/>
                <w:sz w:val="22"/>
                <w:szCs w:val="22"/>
              </w:rPr>
            </w:pPr>
            <w:r w:rsidRPr="00AE4D10">
              <w:rPr>
                <w:rFonts w:ascii="Aptos" w:hAnsi="Aptos"/>
                <w:sz w:val="22"/>
                <w:szCs w:val="22"/>
              </w:rPr>
              <w:t>Lead and develop the central finance team, ensuring consistent processes and standards</w:t>
            </w:r>
          </w:p>
          <w:p w14:paraId="15C51D79" w14:textId="31935C8F" w:rsidR="00A831C5" w:rsidRPr="00AE4D10" w:rsidRDefault="00A831C5" w:rsidP="004073BE">
            <w:pPr>
              <w:numPr>
                <w:ilvl w:val="0"/>
                <w:numId w:val="13"/>
              </w:numPr>
              <w:rPr>
                <w:rFonts w:ascii="Aptos" w:hAnsi="Aptos"/>
                <w:sz w:val="22"/>
                <w:szCs w:val="22"/>
              </w:rPr>
            </w:pPr>
            <w:r w:rsidRPr="00AE4D10">
              <w:rPr>
                <w:rFonts w:ascii="Aptos" w:hAnsi="Aptos"/>
                <w:sz w:val="22"/>
                <w:szCs w:val="22"/>
              </w:rPr>
              <w:t>Maintain effective internal controls to safeguard public funds and Trust assets</w:t>
            </w:r>
          </w:p>
          <w:p w14:paraId="46085B70" w14:textId="6BB25E2B" w:rsidR="00A831C5" w:rsidRPr="00AE4D10" w:rsidRDefault="00511CE3" w:rsidP="004073BE">
            <w:pPr>
              <w:numPr>
                <w:ilvl w:val="0"/>
                <w:numId w:val="13"/>
              </w:numPr>
              <w:rPr>
                <w:rFonts w:ascii="Aptos" w:hAnsi="Aptos"/>
                <w:sz w:val="22"/>
                <w:szCs w:val="22"/>
              </w:rPr>
            </w:pPr>
            <w:r>
              <w:rPr>
                <w:rFonts w:ascii="Aptos" w:hAnsi="Aptos"/>
                <w:sz w:val="22"/>
                <w:szCs w:val="22"/>
              </w:rPr>
              <w:t>Contribute to</w:t>
            </w:r>
            <w:r w:rsidR="00A831C5" w:rsidRPr="00AE4D10">
              <w:rPr>
                <w:rFonts w:ascii="Aptos" w:hAnsi="Aptos"/>
                <w:sz w:val="22"/>
                <w:szCs w:val="22"/>
              </w:rPr>
              <w:t xml:space="preserve"> Trust-wide procurement, ensuring value for money and compliance with regulations</w:t>
            </w:r>
          </w:p>
          <w:p w14:paraId="22EDB3A1" w14:textId="64F3EA27" w:rsidR="006C0C26" w:rsidRPr="00FE7890" w:rsidRDefault="00A831C5" w:rsidP="005E574F">
            <w:pPr>
              <w:numPr>
                <w:ilvl w:val="0"/>
                <w:numId w:val="13"/>
              </w:numPr>
              <w:rPr>
                <w:rStyle w:val="normaltextrun"/>
                <w:rFonts w:ascii="Aptos" w:hAnsi="Aptos"/>
                <w:sz w:val="22"/>
                <w:szCs w:val="22"/>
              </w:rPr>
            </w:pPr>
            <w:r w:rsidRPr="00AE4D10">
              <w:rPr>
                <w:rFonts w:ascii="Aptos" w:hAnsi="Aptos"/>
                <w:sz w:val="22"/>
                <w:szCs w:val="22"/>
              </w:rPr>
              <w:t>Manage cash flow and banking arrangements, including investment strategies</w:t>
            </w:r>
          </w:p>
        </w:tc>
      </w:tr>
      <w:tr w:rsidR="006C0C26" w:rsidRPr="00FE7890" w14:paraId="0E6DDC84" w14:textId="77777777" w:rsidTr="3CDE1F19">
        <w:trPr>
          <w:trHeight w:val="300"/>
        </w:trPr>
        <w:tc>
          <w:tcPr>
            <w:tcW w:w="10035" w:type="dxa"/>
            <w:vAlign w:val="center"/>
          </w:tcPr>
          <w:p w14:paraId="15844593" w14:textId="3CB6DF15" w:rsidR="006C0C26" w:rsidRPr="00FE7890" w:rsidRDefault="00F31AEE" w:rsidP="004073BE">
            <w:pPr>
              <w:rPr>
                <w:rStyle w:val="normaltextrun"/>
                <w:rFonts w:ascii="Aptos" w:hAnsi="Aptos"/>
                <w:sz w:val="22"/>
                <w:szCs w:val="22"/>
              </w:rPr>
            </w:pPr>
            <w:r w:rsidRPr="00AE4D10">
              <w:rPr>
                <w:rFonts w:ascii="Aptos" w:hAnsi="Aptos"/>
                <w:b/>
                <w:bCs/>
                <w:sz w:val="22"/>
                <w:szCs w:val="22"/>
              </w:rPr>
              <w:t>Leadership and Stakeholder Engagement</w:t>
            </w:r>
          </w:p>
        </w:tc>
      </w:tr>
      <w:tr w:rsidR="006C0C26" w:rsidRPr="00FE7890" w14:paraId="5C7D9143" w14:textId="77777777" w:rsidTr="3CDE1F19">
        <w:trPr>
          <w:trHeight w:val="300"/>
        </w:trPr>
        <w:tc>
          <w:tcPr>
            <w:tcW w:w="10035" w:type="dxa"/>
            <w:vAlign w:val="center"/>
          </w:tcPr>
          <w:p w14:paraId="3D209405" w14:textId="268E5CD5" w:rsidR="00E37477" w:rsidRPr="00AE4D10" w:rsidRDefault="006E2BFA" w:rsidP="004073BE">
            <w:pPr>
              <w:numPr>
                <w:ilvl w:val="0"/>
                <w:numId w:val="14"/>
              </w:numPr>
              <w:rPr>
                <w:rFonts w:ascii="Aptos" w:hAnsi="Aptos"/>
                <w:sz w:val="22"/>
                <w:szCs w:val="22"/>
              </w:rPr>
            </w:pPr>
            <w:r>
              <w:rPr>
                <w:rFonts w:ascii="Aptos" w:hAnsi="Aptos"/>
                <w:sz w:val="22"/>
                <w:szCs w:val="22"/>
              </w:rPr>
              <w:t xml:space="preserve">Provide financial support </w:t>
            </w:r>
            <w:r w:rsidR="001727CC">
              <w:rPr>
                <w:rFonts w:ascii="Aptos" w:hAnsi="Aptos"/>
                <w:sz w:val="22"/>
                <w:szCs w:val="22"/>
              </w:rPr>
              <w:t xml:space="preserve">to </w:t>
            </w:r>
            <w:r w:rsidR="00E37477" w:rsidRPr="00AE4D10">
              <w:rPr>
                <w:rFonts w:ascii="Aptos" w:hAnsi="Aptos"/>
                <w:sz w:val="22"/>
                <w:szCs w:val="22"/>
              </w:rPr>
              <w:t>Headteachers, Trustees, and the Executive Team</w:t>
            </w:r>
          </w:p>
          <w:p w14:paraId="25DB5BB6" w14:textId="281A9946" w:rsidR="00E37477" w:rsidRPr="00AE4D10" w:rsidRDefault="00E37477" w:rsidP="004073BE">
            <w:pPr>
              <w:numPr>
                <w:ilvl w:val="0"/>
                <w:numId w:val="14"/>
              </w:numPr>
              <w:rPr>
                <w:rFonts w:ascii="Aptos" w:hAnsi="Aptos"/>
                <w:sz w:val="22"/>
                <w:szCs w:val="22"/>
              </w:rPr>
            </w:pPr>
            <w:r w:rsidRPr="00AE4D10">
              <w:rPr>
                <w:rFonts w:ascii="Aptos" w:hAnsi="Aptos"/>
                <w:sz w:val="22"/>
                <w:szCs w:val="22"/>
              </w:rPr>
              <w:t>Provide financial training and support to SBMs and budget holders across the Trust</w:t>
            </w:r>
          </w:p>
          <w:p w14:paraId="27B16BB4" w14:textId="1F76E5AD" w:rsidR="006C0C26" w:rsidRPr="00FE7890" w:rsidRDefault="00E37477" w:rsidP="005E574F">
            <w:pPr>
              <w:numPr>
                <w:ilvl w:val="0"/>
                <w:numId w:val="14"/>
              </w:numPr>
              <w:rPr>
                <w:rStyle w:val="normaltextrun"/>
                <w:rFonts w:ascii="Aptos" w:hAnsi="Aptos"/>
                <w:sz w:val="22"/>
                <w:szCs w:val="22"/>
              </w:rPr>
            </w:pPr>
            <w:r w:rsidRPr="00AE4D10">
              <w:rPr>
                <w:rFonts w:ascii="Aptos" w:hAnsi="Aptos"/>
                <w:sz w:val="22"/>
                <w:szCs w:val="22"/>
              </w:rPr>
              <w:t>Line manage finance staff within the central team and support finance staff in individual schools</w:t>
            </w:r>
          </w:p>
        </w:tc>
      </w:tr>
      <w:tr w:rsidR="00CA4FCF" w:rsidRPr="00FE7890" w14:paraId="4F0177F8" w14:textId="77777777" w:rsidTr="3CDE1F19">
        <w:trPr>
          <w:trHeight w:val="300"/>
        </w:trPr>
        <w:tc>
          <w:tcPr>
            <w:tcW w:w="10035" w:type="dxa"/>
            <w:vAlign w:val="center"/>
          </w:tcPr>
          <w:p w14:paraId="65DEDEFC" w14:textId="4F71DD7C" w:rsidR="00CA4FCF" w:rsidRPr="00FE7890" w:rsidRDefault="00CA4FCF" w:rsidP="00CA4FCF">
            <w:pPr>
              <w:pStyle w:val="paragraph"/>
              <w:spacing w:before="0" w:beforeAutospacing="0" w:after="0" w:afterAutospacing="0"/>
              <w:textAlignment w:val="baseline"/>
              <w:divId w:val="244538730"/>
              <w:rPr>
                <w:rFonts w:ascii="Aptos" w:hAnsi="Aptos"/>
                <w:b/>
                <w:bCs/>
                <w:color w:val="262626" w:themeColor="text1" w:themeTint="D9"/>
                <w:sz w:val="22"/>
                <w:szCs w:val="22"/>
              </w:rPr>
            </w:pPr>
            <w:r w:rsidRPr="00FE7890">
              <w:rPr>
                <w:rStyle w:val="normaltextrun"/>
                <w:rFonts w:ascii="Aptos" w:hAnsi="Aptos" w:cs="Arial"/>
                <w:sz w:val="22"/>
                <w:szCs w:val="22"/>
              </w:rPr>
              <w:t>To ensure that all activities undertaken are done so safely and to report any unsafe practices or conditions identified as soon as possible to a senior manager</w:t>
            </w:r>
            <w:r w:rsidRPr="00FE7890">
              <w:rPr>
                <w:rStyle w:val="eop"/>
                <w:rFonts w:ascii="Aptos" w:hAnsi="Aptos" w:cs="Arial"/>
                <w:sz w:val="22"/>
                <w:szCs w:val="22"/>
              </w:rPr>
              <w:t>  </w:t>
            </w:r>
          </w:p>
        </w:tc>
      </w:tr>
      <w:tr w:rsidR="00CA4FCF" w:rsidRPr="00FE7890" w14:paraId="12D6DEA2" w14:textId="77777777" w:rsidTr="3CDE1F19">
        <w:trPr>
          <w:trHeight w:val="300"/>
        </w:trPr>
        <w:tc>
          <w:tcPr>
            <w:tcW w:w="10035" w:type="dxa"/>
            <w:vAlign w:val="center"/>
          </w:tcPr>
          <w:p w14:paraId="4E8C13C8" w14:textId="0AA61F26" w:rsidR="00CA4FCF" w:rsidRPr="00FE7890" w:rsidRDefault="00CA4FCF" w:rsidP="00CA4FCF">
            <w:pPr>
              <w:pStyle w:val="paragraph"/>
              <w:spacing w:before="0" w:beforeAutospacing="0" w:after="0" w:afterAutospacing="0"/>
              <w:textAlignment w:val="baseline"/>
              <w:divId w:val="534077101"/>
              <w:rPr>
                <w:rFonts w:ascii="Aptos" w:hAnsi="Aptos"/>
                <w:b/>
                <w:bCs/>
                <w:color w:val="262626" w:themeColor="text1" w:themeTint="D9"/>
                <w:sz w:val="22"/>
                <w:szCs w:val="22"/>
              </w:rPr>
            </w:pPr>
            <w:r w:rsidRPr="00FE7890">
              <w:rPr>
                <w:rStyle w:val="normaltextrun"/>
                <w:rFonts w:ascii="Aptos" w:hAnsi="Aptos" w:cs="Arial"/>
                <w:sz w:val="22"/>
                <w:szCs w:val="22"/>
              </w:rPr>
              <w:t>To actively promote the safeguarding and welfare of pupils at all times working in line with the statutory safeguarding guidance (</w:t>
            </w:r>
            <w:proofErr w:type="spellStart"/>
            <w:r w:rsidRPr="00FE7890">
              <w:rPr>
                <w:rStyle w:val="normaltextrun"/>
                <w:rFonts w:ascii="Aptos" w:hAnsi="Aptos" w:cs="Arial"/>
                <w:sz w:val="22"/>
                <w:szCs w:val="22"/>
              </w:rPr>
              <w:t>eg</w:t>
            </w:r>
            <w:proofErr w:type="spellEnd"/>
            <w:r w:rsidRPr="00FE7890">
              <w:rPr>
                <w:rStyle w:val="normaltextrun"/>
                <w:rFonts w:ascii="Aptos" w:hAnsi="Aptos" w:cs="Arial"/>
                <w:sz w:val="22"/>
                <w:szCs w:val="22"/>
              </w:rPr>
              <w:t>: Keeping Children Safe in Education, Prevent) and the Trust and School Safeguarding and Child Protection Policies</w:t>
            </w:r>
          </w:p>
        </w:tc>
      </w:tr>
      <w:tr w:rsidR="00CA4FCF" w:rsidRPr="00FE7890" w14:paraId="4F433583" w14:textId="77777777" w:rsidTr="3CDE1F19">
        <w:trPr>
          <w:trHeight w:val="300"/>
        </w:trPr>
        <w:tc>
          <w:tcPr>
            <w:tcW w:w="10035" w:type="dxa"/>
            <w:vAlign w:val="center"/>
          </w:tcPr>
          <w:p w14:paraId="64CBAC42" w14:textId="523D8A06" w:rsidR="00CA4FCF" w:rsidRPr="00FE7890" w:rsidRDefault="00CA4FCF" w:rsidP="3CDE1F19">
            <w:pPr>
              <w:pStyle w:val="paragraph"/>
              <w:spacing w:before="0" w:beforeAutospacing="0" w:after="0" w:afterAutospacing="0"/>
              <w:textAlignment w:val="baseline"/>
              <w:divId w:val="879976390"/>
              <w:rPr>
                <w:rFonts w:ascii="Aptos" w:hAnsi="Aptos"/>
                <w:b/>
                <w:bCs/>
                <w:color w:val="262626" w:themeColor="text1" w:themeTint="D9"/>
                <w:sz w:val="22"/>
                <w:szCs w:val="22"/>
              </w:rPr>
            </w:pPr>
            <w:r w:rsidRPr="00FE7890">
              <w:rPr>
                <w:rStyle w:val="normaltextrun"/>
                <w:rFonts w:ascii="Aptos" w:hAnsi="Aptos" w:cs="Arial"/>
                <w:sz w:val="22"/>
                <w:szCs w:val="22"/>
              </w:rPr>
              <w:t xml:space="preserve">Notwithstanding the detail in this job description, the job holder will undertake such work as may be determined by the </w:t>
            </w:r>
            <w:r w:rsidR="0D2B25F2" w:rsidRPr="00FE7890">
              <w:rPr>
                <w:rStyle w:val="normaltextrun"/>
                <w:rFonts w:ascii="Aptos" w:hAnsi="Aptos" w:cs="Arial"/>
                <w:sz w:val="22"/>
                <w:szCs w:val="22"/>
              </w:rPr>
              <w:t>CEO/</w:t>
            </w:r>
            <w:r w:rsidR="005600C2">
              <w:rPr>
                <w:rStyle w:val="normaltextrun"/>
                <w:rFonts w:ascii="Aptos" w:hAnsi="Aptos" w:cs="Arial"/>
                <w:sz w:val="22"/>
                <w:szCs w:val="22"/>
              </w:rPr>
              <w:t>CFO</w:t>
            </w:r>
            <w:r w:rsidRPr="00FE7890">
              <w:rPr>
                <w:rStyle w:val="normaltextrun"/>
                <w:rFonts w:ascii="Aptos" w:hAnsi="Aptos" w:cs="Arial"/>
                <w:sz w:val="22"/>
                <w:szCs w:val="22"/>
              </w:rPr>
              <w:t xml:space="preserve"> up to or at a level consistent with the Main Responsibilities of the job</w:t>
            </w:r>
          </w:p>
        </w:tc>
      </w:tr>
    </w:tbl>
    <w:p w14:paraId="2CA4FC4E" w14:textId="77777777" w:rsidR="00BC785E" w:rsidRPr="00FE7890" w:rsidRDefault="00BC785E" w:rsidP="00663DB0">
      <w:pPr>
        <w:rPr>
          <w:rFonts w:ascii="Aptos" w:hAnsi="Aptos"/>
          <w:b/>
          <w:color w:val="262626" w:themeColor="text1" w:themeTint="D9"/>
          <w:sz w:val="22"/>
          <w:szCs w:val="22"/>
        </w:rPr>
      </w:pPr>
    </w:p>
    <w:p w14:paraId="03E03D66" w14:textId="77777777" w:rsidR="003C7DFB" w:rsidRPr="00FE7890" w:rsidRDefault="003C7DFB">
      <w:pPr>
        <w:rPr>
          <w:rFonts w:ascii="Aptos" w:hAnsi="Aptos"/>
          <w:b/>
          <w:color w:val="262626" w:themeColor="text1" w:themeTint="D9"/>
          <w:sz w:val="22"/>
          <w:szCs w:val="22"/>
        </w:rPr>
      </w:pPr>
    </w:p>
    <w:p w14:paraId="5D8E4C09" w14:textId="77777777" w:rsidR="003C7DFB" w:rsidRPr="00FE7890" w:rsidRDefault="003C7DFB" w:rsidP="003C7DFB">
      <w:pPr>
        <w:pStyle w:val="Heading1"/>
        <w:rPr>
          <w:rFonts w:ascii="Aptos" w:hAnsi="Aptos"/>
          <w:color w:val="262626" w:themeColor="text1" w:themeTint="D9"/>
          <w:sz w:val="22"/>
          <w:szCs w:val="22"/>
        </w:rPr>
      </w:pPr>
      <w:r w:rsidRPr="00FE7890">
        <w:rPr>
          <w:rFonts w:ascii="Aptos" w:hAnsi="Aptos"/>
          <w:color w:val="262626" w:themeColor="text1" w:themeTint="D9"/>
          <w:sz w:val="22"/>
          <w:szCs w:val="22"/>
        </w:rPr>
        <w:t>Person specification</w:t>
      </w:r>
      <w:r w:rsidRPr="00FE7890">
        <w:rPr>
          <w:rFonts w:ascii="Aptos" w:hAnsi="Aptos"/>
          <w:color w:val="262626" w:themeColor="text1" w:themeTint="D9"/>
          <w:sz w:val="22"/>
          <w:szCs w:val="22"/>
        </w:rPr>
        <w:br/>
      </w:r>
    </w:p>
    <w:tbl>
      <w:tblPr>
        <w:tblW w:w="98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025"/>
        <w:gridCol w:w="7822"/>
      </w:tblGrid>
      <w:tr w:rsidR="00172368" w:rsidRPr="00FE7890" w14:paraId="70564DB0" w14:textId="77777777" w:rsidTr="46A47351">
        <w:trPr>
          <w:cantSplit/>
        </w:trPr>
        <w:tc>
          <w:tcPr>
            <w:tcW w:w="2025" w:type="dxa"/>
          </w:tcPr>
          <w:p w14:paraId="3707D614" w14:textId="77777777" w:rsidR="003C7DFB" w:rsidRPr="00FE7890" w:rsidRDefault="003C7DFB" w:rsidP="000D133C">
            <w:pPr>
              <w:pStyle w:val="1bodycopy10pt"/>
              <w:suppressAutoHyphens/>
              <w:spacing w:after="0"/>
              <w:rPr>
                <w:rFonts w:ascii="Aptos" w:hAnsi="Aptos"/>
                <w:b/>
                <w:bCs/>
                <w:caps/>
                <w:color w:val="262626" w:themeColor="text1" w:themeTint="D9"/>
                <w:sz w:val="22"/>
                <w:szCs w:val="22"/>
                <w:lang w:val="en-GB"/>
              </w:rPr>
            </w:pPr>
            <w:r w:rsidRPr="00FE7890">
              <w:rPr>
                <w:rFonts w:ascii="Aptos" w:hAnsi="Aptos"/>
                <w:b/>
                <w:bCs/>
                <w:caps/>
                <w:color w:val="262626" w:themeColor="text1" w:themeTint="D9"/>
                <w:sz w:val="22"/>
                <w:szCs w:val="22"/>
                <w:lang w:val="en-GB"/>
              </w:rPr>
              <w:t>criteria</w:t>
            </w:r>
          </w:p>
        </w:tc>
        <w:tc>
          <w:tcPr>
            <w:tcW w:w="7822" w:type="dxa"/>
          </w:tcPr>
          <w:p w14:paraId="42AC8AD1" w14:textId="77777777" w:rsidR="003C7DFB" w:rsidRPr="00FE7890" w:rsidRDefault="003C7DFB" w:rsidP="000D133C">
            <w:pPr>
              <w:pStyle w:val="1bodycopy10pt"/>
              <w:suppressAutoHyphens/>
              <w:spacing w:after="0"/>
              <w:rPr>
                <w:rFonts w:ascii="Aptos" w:hAnsi="Aptos"/>
                <w:b/>
                <w:bCs/>
                <w:caps/>
                <w:color w:val="262626" w:themeColor="text1" w:themeTint="D9"/>
                <w:sz w:val="22"/>
                <w:szCs w:val="22"/>
                <w:lang w:val="en-GB"/>
              </w:rPr>
            </w:pPr>
            <w:r w:rsidRPr="00FE7890">
              <w:rPr>
                <w:rFonts w:ascii="Aptos" w:hAnsi="Aptos"/>
                <w:b/>
                <w:bCs/>
                <w:caps/>
                <w:color w:val="262626" w:themeColor="text1" w:themeTint="D9"/>
                <w:sz w:val="22"/>
                <w:szCs w:val="22"/>
                <w:lang w:val="en-GB"/>
              </w:rPr>
              <w:t>qualities</w:t>
            </w:r>
          </w:p>
        </w:tc>
      </w:tr>
      <w:tr w:rsidR="00172368" w:rsidRPr="00FE7890" w14:paraId="187BF0C2" w14:textId="77777777" w:rsidTr="46A47351">
        <w:trPr>
          <w:cantSplit/>
        </w:trPr>
        <w:tc>
          <w:tcPr>
            <w:tcW w:w="2025" w:type="dxa"/>
          </w:tcPr>
          <w:p w14:paraId="39EF4A01" w14:textId="77777777" w:rsidR="003C7DFB" w:rsidRPr="00FE7890" w:rsidRDefault="003C7DFB" w:rsidP="00FE708A">
            <w:pPr>
              <w:pStyle w:val="Tablebodycopy"/>
              <w:rPr>
                <w:rFonts w:ascii="Aptos" w:hAnsi="Aptos"/>
                <w:b/>
                <w:color w:val="262626" w:themeColor="text1" w:themeTint="D9"/>
                <w:sz w:val="22"/>
                <w:szCs w:val="22"/>
                <w:lang w:val="en-GB"/>
              </w:rPr>
            </w:pPr>
            <w:r w:rsidRPr="00FE7890">
              <w:rPr>
                <w:rFonts w:ascii="Aptos" w:hAnsi="Aptos"/>
                <w:b/>
                <w:color w:val="262626" w:themeColor="text1" w:themeTint="D9"/>
                <w:sz w:val="22"/>
                <w:szCs w:val="22"/>
              </w:rPr>
              <w:t xml:space="preserve">Qualifications </w:t>
            </w:r>
            <w:r w:rsidRPr="00FE7890">
              <w:rPr>
                <w:rFonts w:ascii="Aptos" w:hAnsi="Aptos"/>
                <w:b/>
                <w:color w:val="262626" w:themeColor="text1" w:themeTint="D9"/>
                <w:sz w:val="22"/>
                <w:szCs w:val="22"/>
              </w:rPr>
              <w:br/>
              <w:t>and training</w:t>
            </w:r>
          </w:p>
        </w:tc>
        <w:tc>
          <w:tcPr>
            <w:tcW w:w="7822" w:type="dxa"/>
          </w:tcPr>
          <w:p w14:paraId="00741DDB" w14:textId="7BCEE6C4" w:rsidR="00444D3F" w:rsidRPr="00353774" w:rsidRDefault="004C1C35" w:rsidP="004409C9">
            <w:pPr>
              <w:numPr>
                <w:ilvl w:val="0"/>
                <w:numId w:val="5"/>
              </w:numPr>
              <w:ind w:left="714" w:hanging="357"/>
              <w:rPr>
                <w:rFonts w:ascii="Aptos" w:hAnsi="Aptos"/>
                <w:sz w:val="22"/>
                <w:szCs w:val="22"/>
              </w:rPr>
            </w:pPr>
            <w:r w:rsidRPr="00353774">
              <w:rPr>
                <w:rFonts w:ascii="Aptos" w:hAnsi="Aptos"/>
                <w:sz w:val="22"/>
                <w:szCs w:val="22"/>
              </w:rPr>
              <w:t>P</w:t>
            </w:r>
            <w:r w:rsidR="00444D3F" w:rsidRPr="00353774">
              <w:rPr>
                <w:rFonts w:ascii="Aptos" w:hAnsi="Aptos"/>
                <w:sz w:val="22"/>
                <w:szCs w:val="22"/>
              </w:rPr>
              <w:t xml:space="preserve">rofessional accountancy </w:t>
            </w:r>
            <w:r w:rsidR="003E501A">
              <w:rPr>
                <w:rFonts w:ascii="Aptos" w:hAnsi="Aptos"/>
                <w:sz w:val="22"/>
                <w:szCs w:val="22"/>
              </w:rPr>
              <w:t xml:space="preserve">or other relevant </w:t>
            </w:r>
            <w:r w:rsidR="00444D3F" w:rsidRPr="00353774">
              <w:rPr>
                <w:rFonts w:ascii="Aptos" w:hAnsi="Aptos"/>
                <w:sz w:val="22"/>
                <w:szCs w:val="22"/>
              </w:rPr>
              <w:t>qualification</w:t>
            </w:r>
            <w:r w:rsidR="00353774">
              <w:rPr>
                <w:rFonts w:ascii="Aptos" w:hAnsi="Aptos"/>
                <w:sz w:val="22"/>
                <w:szCs w:val="22"/>
              </w:rPr>
              <w:t xml:space="preserve"> </w:t>
            </w:r>
          </w:p>
          <w:p w14:paraId="01AA1994" w14:textId="35383D61" w:rsidR="00444D3F" w:rsidRPr="00353774" w:rsidRDefault="00353774" w:rsidP="004409C9">
            <w:pPr>
              <w:numPr>
                <w:ilvl w:val="0"/>
                <w:numId w:val="5"/>
              </w:numPr>
              <w:ind w:left="714" w:hanging="357"/>
              <w:rPr>
                <w:rFonts w:ascii="Aptos" w:hAnsi="Aptos"/>
                <w:sz w:val="22"/>
                <w:szCs w:val="22"/>
              </w:rPr>
            </w:pPr>
            <w:r>
              <w:rPr>
                <w:rFonts w:ascii="Aptos" w:hAnsi="Aptos"/>
                <w:sz w:val="22"/>
                <w:szCs w:val="22"/>
              </w:rPr>
              <w:t>P</w:t>
            </w:r>
            <w:r w:rsidR="00444D3F" w:rsidRPr="00353774">
              <w:rPr>
                <w:rFonts w:ascii="Aptos" w:hAnsi="Aptos"/>
                <w:sz w:val="22"/>
                <w:szCs w:val="22"/>
              </w:rPr>
              <w:t>ost-qualification experience in a senior financial role</w:t>
            </w:r>
          </w:p>
          <w:p w14:paraId="72393A3B" w14:textId="354FE7CE" w:rsidR="003C7DFB" w:rsidRPr="00353774" w:rsidRDefault="003C7DFB" w:rsidP="004409C9">
            <w:pPr>
              <w:ind w:left="357"/>
              <w:rPr>
                <w:rFonts w:ascii="Aptos" w:hAnsi="Aptos"/>
                <w:color w:val="262626" w:themeColor="text1" w:themeTint="D9"/>
                <w:sz w:val="22"/>
                <w:szCs w:val="22"/>
              </w:rPr>
            </w:pPr>
          </w:p>
        </w:tc>
      </w:tr>
      <w:tr w:rsidR="00172368" w:rsidRPr="00FE7890" w14:paraId="52767BB3" w14:textId="77777777" w:rsidTr="46A47351">
        <w:trPr>
          <w:cantSplit/>
        </w:trPr>
        <w:tc>
          <w:tcPr>
            <w:tcW w:w="2025" w:type="dxa"/>
          </w:tcPr>
          <w:p w14:paraId="053E1F81" w14:textId="7F6C7BCB" w:rsidR="0090360C" w:rsidRPr="00FE7890" w:rsidRDefault="00881877" w:rsidP="00FE708A">
            <w:pPr>
              <w:pStyle w:val="Tablebodycopy"/>
              <w:rPr>
                <w:rFonts w:ascii="Aptos" w:hAnsi="Aptos"/>
                <w:b/>
                <w:color w:val="262626" w:themeColor="text1" w:themeTint="D9"/>
                <w:sz w:val="22"/>
                <w:szCs w:val="22"/>
              </w:rPr>
            </w:pPr>
            <w:r w:rsidRPr="00FE7890">
              <w:rPr>
                <w:rFonts w:ascii="Aptos" w:hAnsi="Aptos"/>
                <w:b/>
                <w:color w:val="262626" w:themeColor="text1" w:themeTint="D9"/>
                <w:sz w:val="22"/>
                <w:szCs w:val="22"/>
              </w:rPr>
              <w:t>Experience</w:t>
            </w:r>
          </w:p>
        </w:tc>
        <w:tc>
          <w:tcPr>
            <w:tcW w:w="7822" w:type="dxa"/>
          </w:tcPr>
          <w:p w14:paraId="02A35734" w14:textId="5DA82140" w:rsidR="004409C9" w:rsidRPr="00353774" w:rsidRDefault="004409C9" w:rsidP="004409C9">
            <w:pPr>
              <w:numPr>
                <w:ilvl w:val="0"/>
                <w:numId w:val="5"/>
              </w:numPr>
              <w:ind w:left="714" w:hanging="357"/>
              <w:rPr>
                <w:rFonts w:ascii="Aptos" w:hAnsi="Aptos"/>
                <w:sz w:val="22"/>
                <w:szCs w:val="22"/>
              </w:rPr>
            </w:pPr>
            <w:r w:rsidRPr="00353774">
              <w:rPr>
                <w:rFonts w:ascii="Aptos" w:hAnsi="Aptos"/>
                <w:sz w:val="22"/>
                <w:szCs w:val="22"/>
              </w:rPr>
              <w:t>Experience in managing complex budgets and multi-site operations</w:t>
            </w:r>
          </w:p>
          <w:p w14:paraId="4F55238E" w14:textId="161083AC" w:rsidR="004409C9" w:rsidRPr="00353774" w:rsidRDefault="004409C9" w:rsidP="004409C9">
            <w:pPr>
              <w:numPr>
                <w:ilvl w:val="0"/>
                <w:numId w:val="5"/>
              </w:numPr>
              <w:ind w:left="714" w:hanging="357"/>
              <w:rPr>
                <w:rFonts w:ascii="Aptos" w:hAnsi="Aptos"/>
                <w:sz w:val="22"/>
                <w:szCs w:val="22"/>
              </w:rPr>
            </w:pPr>
            <w:r w:rsidRPr="00353774">
              <w:rPr>
                <w:rFonts w:ascii="Aptos" w:hAnsi="Aptos"/>
                <w:sz w:val="22"/>
                <w:szCs w:val="22"/>
              </w:rPr>
              <w:t>Proven leadership and line management experience</w:t>
            </w:r>
          </w:p>
          <w:p w14:paraId="1041EB3D" w14:textId="129814C9" w:rsidR="004409C9" w:rsidRPr="00353774" w:rsidRDefault="004409C9" w:rsidP="004409C9">
            <w:pPr>
              <w:numPr>
                <w:ilvl w:val="0"/>
                <w:numId w:val="5"/>
              </w:numPr>
              <w:ind w:left="714" w:hanging="357"/>
              <w:rPr>
                <w:rFonts w:ascii="Aptos" w:hAnsi="Aptos"/>
                <w:sz w:val="22"/>
                <w:szCs w:val="22"/>
              </w:rPr>
            </w:pPr>
            <w:r w:rsidRPr="00353774">
              <w:rPr>
                <w:rFonts w:ascii="Aptos" w:hAnsi="Aptos"/>
                <w:sz w:val="22"/>
                <w:szCs w:val="22"/>
              </w:rPr>
              <w:t>Experience of financial reporting and managing audit.</w:t>
            </w:r>
          </w:p>
          <w:p w14:paraId="3B4B4A84" w14:textId="77777777" w:rsidR="0090360C" w:rsidRPr="00353774" w:rsidRDefault="0090360C" w:rsidP="004409C9">
            <w:pPr>
              <w:pStyle w:val="4Bulletedcopyblue"/>
              <w:numPr>
                <w:ilvl w:val="0"/>
                <w:numId w:val="0"/>
              </w:numPr>
              <w:spacing w:after="0"/>
              <w:ind w:left="714"/>
              <w:rPr>
                <w:rFonts w:ascii="Aptos" w:hAnsi="Aptos"/>
                <w:color w:val="262626" w:themeColor="text1" w:themeTint="D9"/>
                <w:sz w:val="22"/>
                <w:szCs w:val="22"/>
              </w:rPr>
            </w:pPr>
          </w:p>
        </w:tc>
      </w:tr>
      <w:tr w:rsidR="00172368" w:rsidRPr="00FE7890" w14:paraId="4BB32E7D" w14:textId="77777777" w:rsidTr="46A47351">
        <w:trPr>
          <w:cantSplit/>
        </w:trPr>
        <w:tc>
          <w:tcPr>
            <w:tcW w:w="2025" w:type="dxa"/>
            <w:tcMar>
              <w:top w:w="113" w:type="dxa"/>
              <w:bottom w:w="113" w:type="dxa"/>
            </w:tcMar>
          </w:tcPr>
          <w:p w14:paraId="396144AC" w14:textId="18595413" w:rsidR="00B96392" w:rsidRPr="00FE7890" w:rsidRDefault="00881877" w:rsidP="00FE708A">
            <w:pPr>
              <w:pStyle w:val="Tablebodycopy"/>
              <w:rPr>
                <w:rFonts w:ascii="Aptos" w:hAnsi="Aptos"/>
                <w:b/>
                <w:color w:val="262626" w:themeColor="text1" w:themeTint="D9"/>
                <w:sz w:val="22"/>
                <w:szCs w:val="22"/>
              </w:rPr>
            </w:pPr>
            <w:r w:rsidRPr="00FE7890">
              <w:rPr>
                <w:rFonts w:ascii="Aptos" w:hAnsi="Aptos"/>
                <w:b/>
                <w:color w:val="262626" w:themeColor="text1" w:themeTint="D9"/>
                <w:sz w:val="22"/>
                <w:szCs w:val="22"/>
              </w:rPr>
              <w:t>Skills</w:t>
            </w:r>
          </w:p>
        </w:tc>
        <w:tc>
          <w:tcPr>
            <w:tcW w:w="7822" w:type="dxa"/>
            <w:tcMar>
              <w:top w:w="113" w:type="dxa"/>
              <w:bottom w:w="113" w:type="dxa"/>
            </w:tcMar>
          </w:tcPr>
          <w:p w14:paraId="128D77B7" w14:textId="6F621871" w:rsidR="00E16B46" w:rsidRPr="00353774" w:rsidRDefault="00E16B46" w:rsidP="004409C9">
            <w:pPr>
              <w:numPr>
                <w:ilvl w:val="0"/>
                <w:numId w:val="5"/>
              </w:numPr>
              <w:ind w:left="714" w:hanging="357"/>
              <w:rPr>
                <w:rFonts w:ascii="Aptos" w:hAnsi="Aptos"/>
                <w:sz w:val="22"/>
                <w:szCs w:val="22"/>
              </w:rPr>
            </w:pPr>
            <w:r w:rsidRPr="00353774">
              <w:rPr>
                <w:rFonts w:ascii="Aptos" w:hAnsi="Aptos"/>
                <w:sz w:val="22"/>
                <w:szCs w:val="22"/>
              </w:rPr>
              <w:t>Strong analytical and problem-solving skills</w:t>
            </w:r>
          </w:p>
          <w:p w14:paraId="58367422" w14:textId="21509473" w:rsidR="00E16B46" w:rsidRPr="00353774" w:rsidRDefault="00E16B46" w:rsidP="004409C9">
            <w:pPr>
              <w:numPr>
                <w:ilvl w:val="0"/>
                <w:numId w:val="5"/>
              </w:numPr>
              <w:ind w:left="714" w:hanging="357"/>
              <w:rPr>
                <w:rFonts w:ascii="Aptos" w:hAnsi="Aptos"/>
                <w:sz w:val="22"/>
                <w:szCs w:val="22"/>
              </w:rPr>
            </w:pPr>
            <w:r w:rsidRPr="00353774">
              <w:rPr>
                <w:rFonts w:ascii="Aptos" w:hAnsi="Aptos"/>
                <w:sz w:val="22"/>
                <w:szCs w:val="22"/>
              </w:rPr>
              <w:t>Excellent communication and interpersonal skills; able to explain finance to non-finance colleagues</w:t>
            </w:r>
          </w:p>
          <w:p w14:paraId="3C120F39" w14:textId="2B5BBABF" w:rsidR="00E16B46" w:rsidRPr="00353774" w:rsidRDefault="00E16B46" w:rsidP="004409C9">
            <w:pPr>
              <w:numPr>
                <w:ilvl w:val="0"/>
                <w:numId w:val="5"/>
              </w:numPr>
              <w:ind w:left="714" w:hanging="357"/>
              <w:rPr>
                <w:rFonts w:ascii="Aptos" w:hAnsi="Aptos"/>
                <w:sz w:val="22"/>
                <w:szCs w:val="22"/>
              </w:rPr>
            </w:pPr>
            <w:r w:rsidRPr="00353774">
              <w:rPr>
                <w:rFonts w:ascii="Aptos" w:hAnsi="Aptos"/>
                <w:sz w:val="22"/>
                <w:szCs w:val="22"/>
              </w:rPr>
              <w:t>High level of IT literacy, particularly in Excel and financial software</w:t>
            </w:r>
          </w:p>
          <w:p w14:paraId="1BDED381" w14:textId="79180959" w:rsidR="00E16B46" w:rsidRPr="00353774" w:rsidRDefault="00E16B46" w:rsidP="004409C9">
            <w:pPr>
              <w:numPr>
                <w:ilvl w:val="0"/>
                <w:numId w:val="5"/>
              </w:numPr>
              <w:ind w:left="714" w:hanging="357"/>
              <w:rPr>
                <w:rFonts w:ascii="Aptos" w:hAnsi="Aptos"/>
                <w:sz w:val="22"/>
                <w:szCs w:val="22"/>
              </w:rPr>
            </w:pPr>
            <w:r w:rsidRPr="00353774">
              <w:rPr>
                <w:rFonts w:ascii="Aptos" w:hAnsi="Aptos"/>
                <w:sz w:val="22"/>
                <w:szCs w:val="22"/>
              </w:rPr>
              <w:t>Ability to work under pressure, prioritise effectively, and meet tight deadlines</w:t>
            </w:r>
          </w:p>
          <w:p w14:paraId="63944F4D" w14:textId="2A2BA4FA" w:rsidR="00B96392" w:rsidRPr="00353774" w:rsidRDefault="00E16B46" w:rsidP="004409C9">
            <w:pPr>
              <w:pStyle w:val="1bodycopy10pt"/>
              <w:numPr>
                <w:ilvl w:val="0"/>
                <w:numId w:val="5"/>
              </w:numPr>
              <w:spacing w:after="0"/>
              <w:ind w:left="714" w:hanging="357"/>
              <w:rPr>
                <w:rFonts w:ascii="Aptos" w:hAnsi="Aptos"/>
                <w:color w:val="262626" w:themeColor="text1" w:themeTint="D9"/>
                <w:sz w:val="22"/>
                <w:szCs w:val="22"/>
              </w:rPr>
            </w:pPr>
            <w:r w:rsidRPr="00353774">
              <w:rPr>
                <w:rFonts w:ascii="Aptos" w:hAnsi="Aptos"/>
                <w:sz w:val="22"/>
                <w:szCs w:val="22"/>
              </w:rPr>
              <w:t>Strong attention to detail with a commitment to accuracy and compliance</w:t>
            </w:r>
          </w:p>
        </w:tc>
      </w:tr>
      <w:tr w:rsidR="003C7DFB" w:rsidRPr="00FE7890" w14:paraId="43C11CC6" w14:textId="77777777" w:rsidTr="46A47351">
        <w:trPr>
          <w:cantSplit/>
        </w:trPr>
        <w:tc>
          <w:tcPr>
            <w:tcW w:w="2025" w:type="dxa"/>
            <w:tcMar>
              <w:top w:w="113" w:type="dxa"/>
              <w:bottom w:w="113" w:type="dxa"/>
            </w:tcMar>
          </w:tcPr>
          <w:p w14:paraId="3F8C99D7" w14:textId="77777777" w:rsidR="003C7DFB" w:rsidRPr="00FE7890" w:rsidRDefault="003C7DFB" w:rsidP="00FE708A">
            <w:pPr>
              <w:pStyle w:val="Tablebodycopy"/>
              <w:rPr>
                <w:rFonts w:ascii="Aptos" w:hAnsi="Aptos"/>
                <w:b/>
                <w:color w:val="262626" w:themeColor="text1" w:themeTint="D9"/>
                <w:sz w:val="22"/>
                <w:szCs w:val="22"/>
              </w:rPr>
            </w:pPr>
            <w:r w:rsidRPr="00FE7890">
              <w:rPr>
                <w:rFonts w:ascii="Aptos" w:hAnsi="Aptos"/>
                <w:b/>
                <w:color w:val="262626" w:themeColor="text1" w:themeTint="D9"/>
                <w:sz w:val="22"/>
                <w:szCs w:val="22"/>
              </w:rPr>
              <w:t>Personal qualities</w:t>
            </w:r>
          </w:p>
        </w:tc>
        <w:tc>
          <w:tcPr>
            <w:tcW w:w="7822" w:type="dxa"/>
            <w:tcMar>
              <w:top w:w="113" w:type="dxa"/>
              <w:bottom w:w="113" w:type="dxa"/>
            </w:tcMar>
          </w:tcPr>
          <w:p w14:paraId="57D04485" w14:textId="77777777" w:rsidR="00DD23CB" w:rsidRPr="00353774" w:rsidRDefault="00DD23CB" w:rsidP="004409C9">
            <w:pPr>
              <w:numPr>
                <w:ilvl w:val="0"/>
                <w:numId w:val="5"/>
              </w:numPr>
              <w:ind w:left="714" w:hanging="357"/>
              <w:rPr>
                <w:rFonts w:ascii="Aptos" w:hAnsi="Aptos"/>
                <w:sz w:val="22"/>
                <w:szCs w:val="22"/>
              </w:rPr>
            </w:pPr>
            <w:r w:rsidRPr="00353774">
              <w:rPr>
                <w:rFonts w:ascii="Aptos" w:hAnsi="Aptos"/>
                <w:sz w:val="22"/>
                <w:szCs w:val="22"/>
              </w:rPr>
              <w:t>Professional integrity and a commitment to high standards of financial stewardship.</w:t>
            </w:r>
          </w:p>
          <w:p w14:paraId="6BE19029" w14:textId="77777777" w:rsidR="00DD23CB" w:rsidRPr="00353774" w:rsidRDefault="00DD23CB" w:rsidP="004409C9">
            <w:pPr>
              <w:numPr>
                <w:ilvl w:val="0"/>
                <w:numId w:val="5"/>
              </w:numPr>
              <w:ind w:left="714" w:hanging="357"/>
              <w:rPr>
                <w:rFonts w:ascii="Aptos" w:hAnsi="Aptos"/>
                <w:sz w:val="22"/>
                <w:szCs w:val="22"/>
              </w:rPr>
            </w:pPr>
            <w:r w:rsidRPr="00353774">
              <w:rPr>
                <w:rFonts w:ascii="Aptos" w:hAnsi="Aptos"/>
                <w:sz w:val="22"/>
                <w:szCs w:val="22"/>
              </w:rPr>
              <w:t>A proactive and collaborative approach to team and Trust-wide working.</w:t>
            </w:r>
          </w:p>
          <w:p w14:paraId="476459AC" w14:textId="77777777" w:rsidR="00DD23CB" w:rsidRPr="00353774" w:rsidRDefault="00DD23CB" w:rsidP="004409C9">
            <w:pPr>
              <w:numPr>
                <w:ilvl w:val="0"/>
                <w:numId w:val="5"/>
              </w:numPr>
              <w:ind w:left="714" w:hanging="357"/>
              <w:rPr>
                <w:rFonts w:ascii="Aptos" w:hAnsi="Aptos"/>
                <w:sz w:val="22"/>
                <w:szCs w:val="22"/>
              </w:rPr>
            </w:pPr>
            <w:r w:rsidRPr="00353774">
              <w:rPr>
                <w:rFonts w:ascii="Aptos" w:hAnsi="Aptos"/>
                <w:sz w:val="22"/>
                <w:szCs w:val="22"/>
              </w:rPr>
              <w:t>Commitment to the values and ethos of the Multi Academy Trust.</w:t>
            </w:r>
          </w:p>
          <w:p w14:paraId="6FD10129" w14:textId="77777777" w:rsidR="00DD23CB" w:rsidRPr="00353774" w:rsidRDefault="00DD23CB" w:rsidP="004409C9">
            <w:pPr>
              <w:numPr>
                <w:ilvl w:val="0"/>
                <w:numId w:val="5"/>
              </w:numPr>
              <w:ind w:left="714" w:hanging="357"/>
              <w:rPr>
                <w:rFonts w:ascii="Aptos" w:hAnsi="Aptos"/>
                <w:sz w:val="22"/>
                <w:szCs w:val="22"/>
              </w:rPr>
            </w:pPr>
            <w:r w:rsidRPr="00353774">
              <w:rPr>
                <w:rFonts w:ascii="Aptos" w:hAnsi="Aptos"/>
                <w:sz w:val="22"/>
                <w:szCs w:val="22"/>
              </w:rPr>
              <w:t>Willingness to travel across schools within the Trust as required.</w:t>
            </w:r>
          </w:p>
          <w:p w14:paraId="7B6744A3" w14:textId="2C56CC8B" w:rsidR="003C7DFB" w:rsidRPr="00353774" w:rsidRDefault="003C7DFB" w:rsidP="004409C9">
            <w:pPr>
              <w:pStyle w:val="1bodycopy10pt"/>
              <w:spacing w:after="0"/>
              <w:rPr>
                <w:rFonts w:ascii="Aptos" w:hAnsi="Aptos"/>
                <w:color w:val="262626" w:themeColor="text1" w:themeTint="D9"/>
                <w:sz w:val="22"/>
                <w:szCs w:val="22"/>
              </w:rPr>
            </w:pPr>
          </w:p>
        </w:tc>
      </w:tr>
    </w:tbl>
    <w:p w14:paraId="3881906C" w14:textId="77777777" w:rsidR="003C7DFB" w:rsidRPr="00FE7890" w:rsidRDefault="003C7DFB">
      <w:pPr>
        <w:rPr>
          <w:rFonts w:ascii="Aptos" w:hAnsi="Aptos"/>
          <w:b/>
          <w:color w:val="262626" w:themeColor="text1" w:themeTint="D9"/>
          <w:sz w:val="22"/>
          <w:szCs w:val="22"/>
        </w:rPr>
      </w:pPr>
    </w:p>
    <w:sectPr w:rsidR="003C7DFB" w:rsidRPr="00FE7890" w:rsidSect="00D95E33">
      <w:headerReference w:type="default" r:id="rId10"/>
      <w:footerReference w:type="default" r:id="rId11"/>
      <w:pgSz w:w="12240" w:h="15840"/>
      <w:pgMar w:top="425" w:right="1043" w:bottom="142" w:left="1151" w:header="720" w:footer="958"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1FE6D" w14:textId="77777777" w:rsidR="00C46350" w:rsidRDefault="00C46350">
      <w:r>
        <w:separator/>
      </w:r>
    </w:p>
  </w:endnote>
  <w:endnote w:type="continuationSeparator" w:id="0">
    <w:p w14:paraId="109BE997" w14:textId="77777777" w:rsidR="00C46350" w:rsidRDefault="00C46350">
      <w:r>
        <w:continuationSeparator/>
      </w:r>
    </w:p>
  </w:endnote>
  <w:endnote w:type="continuationNotice" w:id="1">
    <w:p w14:paraId="30B6A77D" w14:textId="77777777" w:rsidR="00C46350" w:rsidRDefault="00C46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5"/>
      <w:gridCol w:w="3345"/>
      <w:gridCol w:w="3345"/>
    </w:tblGrid>
    <w:tr w:rsidR="46A47351" w14:paraId="736FE74F" w14:textId="77777777" w:rsidTr="46A47351">
      <w:trPr>
        <w:trHeight w:val="300"/>
      </w:trPr>
      <w:tc>
        <w:tcPr>
          <w:tcW w:w="3345" w:type="dxa"/>
        </w:tcPr>
        <w:p w14:paraId="058DC90C" w14:textId="4DE87176" w:rsidR="46A47351" w:rsidRDefault="46A47351" w:rsidP="46A47351">
          <w:pPr>
            <w:pStyle w:val="Header"/>
            <w:ind w:left="-115"/>
          </w:pPr>
        </w:p>
      </w:tc>
      <w:tc>
        <w:tcPr>
          <w:tcW w:w="3345" w:type="dxa"/>
        </w:tcPr>
        <w:p w14:paraId="0EC079BF" w14:textId="41F6D6A7" w:rsidR="46A47351" w:rsidRDefault="46A47351" w:rsidP="46A47351">
          <w:pPr>
            <w:pStyle w:val="Header"/>
            <w:jc w:val="center"/>
          </w:pPr>
        </w:p>
      </w:tc>
      <w:tc>
        <w:tcPr>
          <w:tcW w:w="3345" w:type="dxa"/>
        </w:tcPr>
        <w:p w14:paraId="29055489" w14:textId="2DFF9151" w:rsidR="46A47351" w:rsidRDefault="46A47351" w:rsidP="46A47351">
          <w:pPr>
            <w:pStyle w:val="Header"/>
            <w:ind w:right="-115"/>
            <w:jc w:val="right"/>
          </w:pPr>
        </w:p>
      </w:tc>
    </w:tr>
  </w:tbl>
  <w:p w14:paraId="30DE18BC" w14:textId="2C7CD1B9" w:rsidR="46A47351" w:rsidRDefault="46A47351" w:rsidP="46A47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9EB08" w14:textId="77777777" w:rsidR="00C46350" w:rsidRDefault="00C46350">
      <w:r>
        <w:separator/>
      </w:r>
    </w:p>
  </w:footnote>
  <w:footnote w:type="continuationSeparator" w:id="0">
    <w:p w14:paraId="2DD8EB89" w14:textId="77777777" w:rsidR="00C46350" w:rsidRDefault="00C46350">
      <w:r>
        <w:continuationSeparator/>
      </w:r>
    </w:p>
  </w:footnote>
  <w:footnote w:type="continuationNotice" w:id="1">
    <w:p w14:paraId="600A856D" w14:textId="77777777" w:rsidR="00C46350" w:rsidRDefault="00C46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618C" w14:textId="0D4DC40F" w:rsidR="00AB4B01" w:rsidRPr="00AB4B01" w:rsidRDefault="00AB4B01" w:rsidP="00AB4B01">
    <w:pPr>
      <w:pStyle w:val="Header"/>
      <w:tabs>
        <w:tab w:val="right" w:pos="9639"/>
      </w:tabs>
      <w:jc w:val="right"/>
      <w:rPr>
        <w:b/>
        <w:bCs/>
        <w:sz w:val="22"/>
        <w:szCs w:val="22"/>
      </w:rPr>
    </w:pPr>
    <w:r w:rsidRPr="00AB4B01">
      <w:rPr>
        <w:b/>
        <w:bCs/>
        <w:noProof/>
        <w:sz w:val="22"/>
        <w:szCs w:val="22"/>
      </w:rPr>
      <w:drawing>
        <wp:anchor distT="0" distB="0" distL="114300" distR="114300" simplePos="0" relativeHeight="251658240" behindDoc="0" locked="0" layoutInCell="1" allowOverlap="1" wp14:anchorId="30F0E4B3" wp14:editId="45ACD88A">
          <wp:simplePos x="0" y="0"/>
          <wp:positionH relativeFrom="column">
            <wp:posOffset>5375717</wp:posOffset>
          </wp:positionH>
          <wp:positionV relativeFrom="paragraph">
            <wp:posOffset>3976</wp:posOffset>
          </wp:positionV>
          <wp:extent cx="1004700" cy="491049"/>
          <wp:effectExtent l="0" t="0" r="0" b="0"/>
          <wp:wrapNone/>
          <wp:docPr id="1673083735" name="Picture 2" descr="A logo with colorful circle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83735" name="Picture 2" descr="A logo with colorful circles and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4700" cy="491049"/>
                  </a:xfrm>
                  <a:prstGeom prst="rect">
                    <a:avLst/>
                  </a:prstGeom>
                  <a:noFill/>
                  <a:ln>
                    <a:noFill/>
                  </a:ln>
                </pic:spPr>
              </pic:pic>
            </a:graphicData>
          </a:graphic>
        </wp:anchor>
      </w:drawing>
    </w:r>
  </w:p>
  <w:p w14:paraId="0D0F4474" w14:textId="77777777" w:rsidR="00AB4B01" w:rsidRDefault="00AB4B01" w:rsidP="002111D3">
    <w:pPr>
      <w:pStyle w:val="Header"/>
      <w:tabs>
        <w:tab w:val="clear" w:pos="8306"/>
        <w:tab w:val="right" w:pos="9639"/>
      </w:tabs>
      <w:rPr>
        <w:b/>
        <w:bCs/>
        <w:sz w:val="22"/>
        <w:szCs w:val="22"/>
      </w:rPr>
    </w:pPr>
  </w:p>
  <w:p w14:paraId="70C8FB09" w14:textId="1DC1D083" w:rsidR="00C77374" w:rsidRPr="00172368" w:rsidRDefault="46A47351" w:rsidP="002111D3">
    <w:pPr>
      <w:pStyle w:val="Header"/>
      <w:tabs>
        <w:tab w:val="clear" w:pos="8306"/>
        <w:tab w:val="right" w:pos="9639"/>
      </w:tabs>
      <w:rPr>
        <w:rFonts w:ascii="Aptos" w:hAnsi="Aptos"/>
        <w:b/>
        <w:bCs/>
      </w:rPr>
    </w:pPr>
    <w:r w:rsidRPr="00172368">
      <w:rPr>
        <w:rFonts w:ascii="Aptos" w:hAnsi="Aptos"/>
        <w:b/>
        <w:bCs/>
        <w:color w:val="262626" w:themeColor="text1" w:themeTint="D9"/>
        <w:sz w:val="22"/>
        <w:szCs w:val="22"/>
      </w:rPr>
      <w:t>Job Description &amp; Person Specification</w:t>
    </w:r>
    <w:r w:rsidR="00B34923" w:rsidRPr="00172368">
      <w:rPr>
        <w:rFonts w:ascii="Aptos" w:hAnsi="Aptos"/>
        <w:color w:val="262626" w:themeColor="text1" w:themeTint="D9"/>
      </w:rPr>
      <w:tab/>
    </w:r>
    <w:r w:rsidR="00B34923" w:rsidRPr="00172368">
      <w:rPr>
        <w:rFonts w:ascii="Aptos" w:hAnsi="Aptos"/>
      </w:rP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C5FD8"/>
    <w:multiLevelType w:val="hybridMultilevel"/>
    <w:tmpl w:val="36C821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2D916AB"/>
    <w:multiLevelType w:val="multilevel"/>
    <w:tmpl w:val="80A2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83648"/>
    <w:multiLevelType w:val="multilevel"/>
    <w:tmpl w:val="306C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31C5C"/>
    <w:multiLevelType w:val="multilevel"/>
    <w:tmpl w:val="4E2C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0495B"/>
    <w:multiLevelType w:val="multilevel"/>
    <w:tmpl w:val="ECDC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7733E"/>
    <w:multiLevelType w:val="multilevel"/>
    <w:tmpl w:val="AEEE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D489E"/>
    <w:multiLevelType w:val="hybridMultilevel"/>
    <w:tmpl w:val="B99E8E6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180F35"/>
    <w:multiLevelType w:val="hybridMultilevel"/>
    <w:tmpl w:val="143803BC"/>
    <w:lvl w:ilvl="0" w:tplc="719CC6CC">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79155B"/>
    <w:multiLevelType w:val="multilevel"/>
    <w:tmpl w:val="0794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DE140"/>
    <w:multiLevelType w:val="hybridMultilevel"/>
    <w:tmpl w:val="96EC8052"/>
    <w:lvl w:ilvl="0" w:tplc="4442F832">
      <w:start w:val="1"/>
      <w:numFmt w:val="decimal"/>
      <w:lvlText w:val="%1"/>
      <w:lvlJc w:val="center"/>
      <w:pPr>
        <w:ind w:left="1080" w:hanging="360"/>
      </w:pPr>
    </w:lvl>
    <w:lvl w:ilvl="1" w:tplc="476A43A4">
      <w:start w:val="1"/>
      <w:numFmt w:val="lowerLetter"/>
      <w:lvlText w:val="%2."/>
      <w:lvlJc w:val="left"/>
      <w:pPr>
        <w:ind w:left="1800" w:hanging="360"/>
      </w:pPr>
    </w:lvl>
    <w:lvl w:ilvl="2" w:tplc="443ADE94">
      <w:start w:val="1"/>
      <w:numFmt w:val="lowerRoman"/>
      <w:lvlText w:val="%3."/>
      <w:lvlJc w:val="right"/>
      <w:pPr>
        <w:ind w:left="2520" w:hanging="180"/>
      </w:pPr>
    </w:lvl>
    <w:lvl w:ilvl="3" w:tplc="788C1490">
      <w:start w:val="1"/>
      <w:numFmt w:val="decimal"/>
      <w:lvlText w:val="%4."/>
      <w:lvlJc w:val="left"/>
      <w:pPr>
        <w:ind w:left="3240" w:hanging="360"/>
      </w:pPr>
    </w:lvl>
    <w:lvl w:ilvl="4" w:tplc="16F881C4">
      <w:start w:val="1"/>
      <w:numFmt w:val="lowerLetter"/>
      <w:lvlText w:val="%5."/>
      <w:lvlJc w:val="left"/>
      <w:pPr>
        <w:ind w:left="3960" w:hanging="360"/>
      </w:pPr>
    </w:lvl>
    <w:lvl w:ilvl="5" w:tplc="BCEC645E">
      <w:start w:val="1"/>
      <w:numFmt w:val="lowerRoman"/>
      <w:lvlText w:val="%6."/>
      <w:lvlJc w:val="right"/>
      <w:pPr>
        <w:ind w:left="4680" w:hanging="180"/>
      </w:pPr>
    </w:lvl>
    <w:lvl w:ilvl="6" w:tplc="C88AD2F4">
      <w:start w:val="1"/>
      <w:numFmt w:val="decimal"/>
      <w:lvlText w:val="%7."/>
      <w:lvlJc w:val="left"/>
      <w:pPr>
        <w:ind w:left="5400" w:hanging="360"/>
      </w:pPr>
    </w:lvl>
    <w:lvl w:ilvl="7" w:tplc="9252C286">
      <w:start w:val="1"/>
      <w:numFmt w:val="lowerLetter"/>
      <w:lvlText w:val="%8."/>
      <w:lvlJc w:val="left"/>
      <w:pPr>
        <w:ind w:left="6120" w:hanging="360"/>
      </w:pPr>
    </w:lvl>
    <w:lvl w:ilvl="8" w:tplc="2CC4E098">
      <w:start w:val="1"/>
      <w:numFmt w:val="lowerRoman"/>
      <w:lvlText w:val="%9."/>
      <w:lvlJc w:val="right"/>
      <w:pPr>
        <w:ind w:left="6840" w:hanging="180"/>
      </w:pPr>
    </w:lvl>
  </w:abstractNum>
  <w:abstractNum w:abstractNumId="10" w15:restartNumberingAfterBreak="0">
    <w:nsid w:val="5883686C"/>
    <w:multiLevelType w:val="hybridMultilevel"/>
    <w:tmpl w:val="8174D3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1" w15:restartNumberingAfterBreak="0">
    <w:nsid w:val="69B76D40"/>
    <w:multiLevelType w:val="hybridMultilevel"/>
    <w:tmpl w:val="FC8E6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C6654F1"/>
    <w:multiLevelType w:val="multilevel"/>
    <w:tmpl w:val="C4DC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66B4F2"/>
    <w:multiLevelType w:val="hybridMultilevel"/>
    <w:tmpl w:val="94FAB8CA"/>
    <w:lvl w:ilvl="0" w:tplc="ADB69A6E">
      <w:start w:val="1"/>
      <w:numFmt w:val="bullet"/>
      <w:lvlText w:val="o"/>
      <w:lvlJc w:val="left"/>
      <w:pPr>
        <w:ind w:left="720" w:hanging="360"/>
      </w:pPr>
      <w:rPr>
        <w:rFonts w:ascii="Symbol" w:hAnsi="Symbol" w:hint="default"/>
      </w:rPr>
    </w:lvl>
    <w:lvl w:ilvl="1" w:tplc="E9F267C2">
      <w:start w:val="1"/>
      <w:numFmt w:val="bullet"/>
      <w:lvlText w:val="o"/>
      <w:lvlJc w:val="left"/>
      <w:pPr>
        <w:ind w:left="1440" w:hanging="360"/>
      </w:pPr>
      <w:rPr>
        <w:rFonts w:ascii="Courier New" w:hAnsi="Courier New" w:hint="default"/>
      </w:rPr>
    </w:lvl>
    <w:lvl w:ilvl="2" w:tplc="05EC796C">
      <w:start w:val="1"/>
      <w:numFmt w:val="bullet"/>
      <w:lvlText w:val=""/>
      <w:lvlJc w:val="left"/>
      <w:pPr>
        <w:ind w:left="2160" w:hanging="360"/>
      </w:pPr>
      <w:rPr>
        <w:rFonts w:ascii="Wingdings" w:hAnsi="Wingdings" w:hint="default"/>
      </w:rPr>
    </w:lvl>
    <w:lvl w:ilvl="3" w:tplc="A01275B0">
      <w:start w:val="1"/>
      <w:numFmt w:val="bullet"/>
      <w:lvlText w:val=""/>
      <w:lvlJc w:val="left"/>
      <w:pPr>
        <w:ind w:left="2880" w:hanging="360"/>
      </w:pPr>
      <w:rPr>
        <w:rFonts w:ascii="Symbol" w:hAnsi="Symbol" w:hint="default"/>
      </w:rPr>
    </w:lvl>
    <w:lvl w:ilvl="4" w:tplc="3E9438F0">
      <w:start w:val="1"/>
      <w:numFmt w:val="bullet"/>
      <w:lvlText w:val="o"/>
      <w:lvlJc w:val="left"/>
      <w:pPr>
        <w:ind w:left="3600" w:hanging="360"/>
      </w:pPr>
      <w:rPr>
        <w:rFonts w:ascii="Courier New" w:hAnsi="Courier New" w:hint="default"/>
      </w:rPr>
    </w:lvl>
    <w:lvl w:ilvl="5" w:tplc="CDEA4106">
      <w:start w:val="1"/>
      <w:numFmt w:val="bullet"/>
      <w:lvlText w:val=""/>
      <w:lvlJc w:val="left"/>
      <w:pPr>
        <w:ind w:left="4320" w:hanging="360"/>
      </w:pPr>
      <w:rPr>
        <w:rFonts w:ascii="Wingdings" w:hAnsi="Wingdings" w:hint="default"/>
      </w:rPr>
    </w:lvl>
    <w:lvl w:ilvl="6" w:tplc="04E062E0">
      <w:start w:val="1"/>
      <w:numFmt w:val="bullet"/>
      <w:lvlText w:val=""/>
      <w:lvlJc w:val="left"/>
      <w:pPr>
        <w:ind w:left="5040" w:hanging="360"/>
      </w:pPr>
      <w:rPr>
        <w:rFonts w:ascii="Symbol" w:hAnsi="Symbol" w:hint="default"/>
      </w:rPr>
    </w:lvl>
    <w:lvl w:ilvl="7" w:tplc="A448DA7E">
      <w:start w:val="1"/>
      <w:numFmt w:val="bullet"/>
      <w:lvlText w:val="o"/>
      <w:lvlJc w:val="left"/>
      <w:pPr>
        <w:ind w:left="5760" w:hanging="360"/>
      </w:pPr>
      <w:rPr>
        <w:rFonts w:ascii="Courier New" w:hAnsi="Courier New" w:hint="default"/>
      </w:rPr>
    </w:lvl>
    <w:lvl w:ilvl="8" w:tplc="D1066926">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30F20A30"/>
    <w:lvl w:ilvl="0" w:tplc="15D4C746">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FFD6ED4"/>
    <w:multiLevelType w:val="multilevel"/>
    <w:tmpl w:val="2982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763699">
    <w:abstractNumId w:val="9"/>
  </w:num>
  <w:num w:numId="2" w16cid:durableId="421881693">
    <w:abstractNumId w:val="13"/>
  </w:num>
  <w:num w:numId="3" w16cid:durableId="1635453093">
    <w:abstractNumId w:val="7"/>
  </w:num>
  <w:num w:numId="4" w16cid:durableId="953823897">
    <w:abstractNumId w:val="14"/>
  </w:num>
  <w:num w:numId="5" w16cid:durableId="1814330855">
    <w:abstractNumId w:val="10"/>
  </w:num>
  <w:num w:numId="6" w16cid:durableId="1369186925">
    <w:abstractNumId w:val="11"/>
  </w:num>
  <w:num w:numId="7" w16cid:durableId="970211996">
    <w:abstractNumId w:val="0"/>
  </w:num>
  <w:num w:numId="8" w16cid:durableId="1914971537">
    <w:abstractNumId w:val="0"/>
  </w:num>
  <w:num w:numId="9" w16cid:durableId="597251576">
    <w:abstractNumId w:val="6"/>
  </w:num>
  <w:num w:numId="10" w16cid:durableId="1770850544">
    <w:abstractNumId w:val="1"/>
  </w:num>
  <w:num w:numId="11" w16cid:durableId="1875314612">
    <w:abstractNumId w:val="15"/>
  </w:num>
  <w:num w:numId="12" w16cid:durableId="1219047244">
    <w:abstractNumId w:val="2"/>
  </w:num>
  <w:num w:numId="13" w16cid:durableId="426733953">
    <w:abstractNumId w:val="5"/>
  </w:num>
  <w:num w:numId="14" w16cid:durableId="1015880947">
    <w:abstractNumId w:val="4"/>
  </w:num>
  <w:num w:numId="15" w16cid:durableId="1788741000">
    <w:abstractNumId w:val="8"/>
  </w:num>
  <w:num w:numId="16" w16cid:durableId="1402560813">
    <w:abstractNumId w:val="12"/>
  </w:num>
  <w:num w:numId="17" w16cid:durableId="50975697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23"/>
    <w:rsid w:val="000049C5"/>
    <w:rsid w:val="00004D58"/>
    <w:rsid w:val="00007BB6"/>
    <w:rsid w:val="00010C1B"/>
    <w:rsid w:val="00015D4D"/>
    <w:rsid w:val="0002697D"/>
    <w:rsid w:val="00027BC5"/>
    <w:rsid w:val="00030F74"/>
    <w:rsid w:val="00032465"/>
    <w:rsid w:val="00033602"/>
    <w:rsid w:val="00036C1F"/>
    <w:rsid w:val="0003741C"/>
    <w:rsid w:val="00037B01"/>
    <w:rsid w:val="000436D1"/>
    <w:rsid w:val="00043CC6"/>
    <w:rsid w:val="000457F0"/>
    <w:rsid w:val="0004684C"/>
    <w:rsid w:val="00051F42"/>
    <w:rsid w:val="0005747D"/>
    <w:rsid w:val="0005760F"/>
    <w:rsid w:val="00076DB5"/>
    <w:rsid w:val="00076F40"/>
    <w:rsid w:val="000803BC"/>
    <w:rsid w:val="000807AA"/>
    <w:rsid w:val="000909DF"/>
    <w:rsid w:val="00092D15"/>
    <w:rsid w:val="000A1082"/>
    <w:rsid w:val="000A3FDA"/>
    <w:rsid w:val="000A415A"/>
    <w:rsid w:val="000A52FC"/>
    <w:rsid w:val="000A572E"/>
    <w:rsid w:val="000A6CC2"/>
    <w:rsid w:val="000B239B"/>
    <w:rsid w:val="000B2641"/>
    <w:rsid w:val="000B376A"/>
    <w:rsid w:val="000B41EE"/>
    <w:rsid w:val="000B6202"/>
    <w:rsid w:val="000B7B0E"/>
    <w:rsid w:val="000C1224"/>
    <w:rsid w:val="000C30A6"/>
    <w:rsid w:val="000C7714"/>
    <w:rsid w:val="000D02FE"/>
    <w:rsid w:val="000D07AA"/>
    <w:rsid w:val="000D133C"/>
    <w:rsid w:val="000D1BDF"/>
    <w:rsid w:val="000E3594"/>
    <w:rsid w:val="000E3B8C"/>
    <w:rsid w:val="000F1468"/>
    <w:rsid w:val="000F5F4D"/>
    <w:rsid w:val="00102472"/>
    <w:rsid w:val="00106A92"/>
    <w:rsid w:val="00117761"/>
    <w:rsid w:val="00127EEE"/>
    <w:rsid w:val="001327D7"/>
    <w:rsid w:val="00140010"/>
    <w:rsid w:val="00145130"/>
    <w:rsid w:val="00145271"/>
    <w:rsid w:val="00147A0A"/>
    <w:rsid w:val="0015097C"/>
    <w:rsid w:val="0015156C"/>
    <w:rsid w:val="0015616E"/>
    <w:rsid w:val="00163EC1"/>
    <w:rsid w:val="001720EB"/>
    <w:rsid w:val="00172368"/>
    <w:rsid w:val="001723F1"/>
    <w:rsid w:val="001727CC"/>
    <w:rsid w:val="00174639"/>
    <w:rsid w:val="001747CF"/>
    <w:rsid w:val="00181C1C"/>
    <w:rsid w:val="001922B7"/>
    <w:rsid w:val="00193660"/>
    <w:rsid w:val="00195366"/>
    <w:rsid w:val="0019761F"/>
    <w:rsid w:val="001A3ED9"/>
    <w:rsid w:val="001A5035"/>
    <w:rsid w:val="001A5277"/>
    <w:rsid w:val="001B2B98"/>
    <w:rsid w:val="001B4FB2"/>
    <w:rsid w:val="001B7D21"/>
    <w:rsid w:val="001C1B21"/>
    <w:rsid w:val="001C28E0"/>
    <w:rsid w:val="001C4C5B"/>
    <w:rsid w:val="001D3C6C"/>
    <w:rsid w:val="001D7C0B"/>
    <w:rsid w:val="001E3F96"/>
    <w:rsid w:val="001E4740"/>
    <w:rsid w:val="001F18C2"/>
    <w:rsid w:val="001F2C7F"/>
    <w:rsid w:val="00203514"/>
    <w:rsid w:val="00204F99"/>
    <w:rsid w:val="0020704A"/>
    <w:rsid w:val="002111D3"/>
    <w:rsid w:val="002155F1"/>
    <w:rsid w:val="002229E4"/>
    <w:rsid w:val="00224CC8"/>
    <w:rsid w:val="00225FD6"/>
    <w:rsid w:val="00226E36"/>
    <w:rsid w:val="0023261E"/>
    <w:rsid w:val="0023368F"/>
    <w:rsid w:val="00234C1B"/>
    <w:rsid w:val="00237FD6"/>
    <w:rsid w:val="00240DF3"/>
    <w:rsid w:val="002426EB"/>
    <w:rsid w:val="002556C2"/>
    <w:rsid w:val="00263E27"/>
    <w:rsid w:val="00264DAD"/>
    <w:rsid w:val="00272A68"/>
    <w:rsid w:val="00273C5C"/>
    <w:rsid w:val="00283463"/>
    <w:rsid w:val="002967C0"/>
    <w:rsid w:val="002A757F"/>
    <w:rsid w:val="002C0870"/>
    <w:rsid w:val="002C3C44"/>
    <w:rsid w:val="002D01BB"/>
    <w:rsid w:val="002D4427"/>
    <w:rsid w:val="002D71EE"/>
    <w:rsid w:val="002E1450"/>
    <w:rsid w:val="002E6DDE"/>
    <w:rsid w:val="002E7C65"/>
    <w:rsid w:val="002F0BD7"/>
    <w:rsid w:val="002F406D"/>
    <w:rsid w:val="00302577"/>
    <w:rsid w:val="0030351A"/>
    <w:rsid w:val="003071D3"/>
    <w:rsid w:val="00311D6A"/>
    <w:rsid w:val="00314451"/>
    <w:rsid w:val="003176D3"/>
    <w:rsid w:val="00321348"/>
    <w:rsid w:val="00323BC5"/>
    <w:rsid w:val="0033047E"/>
    <w:rsid w:val="00331437"/>
    <w:rsid w:val="00333FBF"/>
    <w:rsid w:val="00335099"/>
    <w:rsid w:val="00337101"/>
    <w:rsid w:val="003421C0"/>
    <w:rsid w:val="00346DD9"/>
    <w:rsid w:val="00350934"/>
    <w:rsid w:val="00350B30"/>
    <w:rsid w:val="00352CEC"/>
    <w:rsid w:val="00352E8E"/>
    <w:rsid w:val="00353774"/>
    <w:rsid w:val="00354027"/>
    <w:rsid w:val="00362B42"/>
    <w:rsid w:val="003633F5"/>
    <w:rsid w:val="00371977"/>
    <w:rsid w:val="00373047"/>
    <w:rsid w:val="00374122"/>
    <w:rsid w:val="00380411"/>
    <w:rsid w:val="00387439"/>
    <w:rsid w:val="00387F4E"/>
    <w:rsid w:val="003936EF"/>
    <w:rsid w:val="0039734E"/>
    <w:rsid w:val="003979B0"/>
    <w:rsid w:val="003A2FC4"/>
    <w:rsid w:val="003B0BC6"/>
    <w:rsid w:val="003B6112"/>
    <w:rsid w:val="003C7DFB"/>
    <w:rsid w:val="003D22E9"/>
    <w:rsid w:val="003D3B83"/>
    <w:rsid w:val="003D40BB"/>
    <w:rsid w:val="003E2A4F"/>
    <w:rsid w:val="003E501A"/>
    <w:rsid w:val="003F2957"/>
    <w:rsid w:val="003F2C5D"/>
    <w:rsid w:val="003F30F2"/>
    <w:rsid w:val="003F3AA9"/>
    <w:rsid w:val="00402E28"/>
    <w:rsid w:val="00404051"/>
    <w:rsid w:val="004051FD"/>
    <w:rsid w:val="00405F6D"/>
    <w:rsid w:val="00406AEC"/>
    <w:rsid w:val="004073BE"/>
    <w:rsid w:val="00420046"/>
    <w:rsid w:val="00420890"/>
    <w:rsid w:val="00425F0B"/>
    <w:rsid w:val="004316EA"/>
    <w:rsid w:val="004409C9"/>
    <w:rsid w:val="004424D3"/>
    <w:rsid w:val="004427CC"/>
    <w:rsid w:val="00444616"/>
    <w:rsid w:val="00444D3F"/>
    <w:rsid w:val="0044700D"/>
    <w:rsid w:val="00462566"/>
    <w:rsid w:val="00463F11"/>
    <w:rsid w:val="004660B3"/>
    <w:rsid w:val="00467161"/>
    <w:rsid w:val="00475207"/>
    <w:rsid w:val="00475CA6"/>
    <w:rsid w:val="004813DA"/>
    <w:rsid w:val="00483054"/>
    <w:rsid w:val="00483518"/>
    <w:rsid w:val="0048416C"/>
    <w:rsid w:val="00485113"/>
    <w:rsid w:val="00497F06"/>
    <w:rsid w:val="004A1E42"/>
    <w:rsid w:val="004A213D"/>
    <w:rsid w:val="004A40EA"/>
    <w:rsid w:val="004A5812"/>
    <w:rsid w:val="004A5D9B"/>
    <w:rsid w:val="004A65E8"/>
    <w:rsid w:val="004B62E4"/>
    <w:rsid w:val="004C0228"/>
    <w:rsid w:val="004C1C35"/>
    <w:rsid w:val="004C4975"/>
    <w:rsid w:val="004D7B01"/>
    <w:rsid w:val="004F4B97"/>
    <w:rsid w:val="004F564A"/>
    <w:rsid w:val="00500E66"/>
    <w:rsid w:val="0050238E"/>
    <w:rsid w:val="005116E8"/>
    <w:rsid w:val="00511CE3"/>
    <w:rsid w:val="005125EB"/>
    <w:rsid w:val="005165A8"/>
    <w:rsid w:val="00522CDF"/>
    <w:rsid w:val="00523296"/>
    <w:rsid w:val="00524E7C"/>
    <w:rsid w:val="00531A88"/>
    <w:rsid w:val="005427D2"/>
    <w:rsid w:val="00543203"/>
    <w:rsid w:val="0055141F"/>
    <w:rsid w:val="005518F1"/>
    <w:rsid w:val="00551D31"/>
    <w:rsid w:val="0055761B"/>
    <w:rsid w:val="005600C2"/>
    <w:rsid w:val="0056027F"/>
    <w:rsid w:val="00561C22"/>
    <w:rsid w:val="005703C1"/>
    <w:rsid w:val="00574E53"/>
    <w:rsid w:val="005848FF"/>
    <w:rsid w:val="00587845"/>
    <w:rsid w:val="005907D9"/>
    <w:rsid w:val="00595B1A"/>
    <w:rsid w:val="005A263B"/>
    <w:rsid w:val="005A3CC7"/>
    <w:rsid w:val="005A4D49"/>
    <w:rsid w:val="005A72CA"/>
    <w:rsid w:val="005B36F3"/>
    <w:rsid w:val="005C3A5E"/>
    <w:rsid w:val="005C4F77"/>
    <w:rsid w:val="005C5BB8"/>
    <w:rsid w:val="005C7D68"/>
    <w:rsid w:val="005D0CA3"/>
    <w:rsid w:val="005D1B3C"/>
    <w:rsid w:val="005D2204"/>
    <w:rsid w:val="005E574F"/>
    <w:rsid w:val="005F405B"/>
    <w:rsid w:val="005F4322"/>
    <w:rsid w:val="005F584E"/>
    <w:rsid w:val="005F5A37"/>
    <w:rsid w:val="00601453"/>
    <w:rsid w:val="006019BE"/>
    <w:rsid w:val="00606970"/>
    <w:rsid w:val="00606D4E"/>
    <w:rsid w:val="00611075"/>
    <w:rsid w:val="00611427"/>
    <w:rsid w:val="00614F26"/>
    <w:rsid w:val="00622433"/>
    <w:rsid w:val="00622F0F"/>
    <w:rsid w:val="00631A09"/>
    <w:rsid w:val="00635E6F"/>
    <w:rsid w:val="00637723"/>
    <w:rsid w:val="00642673"/>
    <w:rsid w:val="006435E1"/>
    <w:rsid w:val="00644734"/>
    <w:rsid w:val="00647466"/>
    <w:rsid w:val="00651F8D"/>
    <w:rsid w:val="006522BB"/>
    <w:rsid w:val="006538FB"/>
    <w:rsid w:val="00655BAE"/>
    <w:rsid w:val="00655BEC"/>
    <w:rsid w:val="00657E5E"/>
    <w:rsid w:val="00663DB0"/>
    <w:rsid w:val="00665756"/>
    <w:rsid w:val="00665E40"/>
    <w:rsid w:val="00675E14"/>
    <w:rsid w:val="00680CF3"/>
    <w:rsid w:val="0068361C"/>
    <w:rsid w:val="00684BB6"/>
    <w:rsid w:val="006953BE"/>
    <w:rsid w:val="00696210"/>
    <w:rsid w:val="006A20F6"/>
    <w:rsid w:val="006B5354"/>
    <w:rsid w:val="006C024A"/>
    <w:rsid w:val="006C0C26"/>
    <w:rsid w:val="006C2B35"/>
    <w:rsid w:val="006D500B"/>
    <w:rsid w:val="006D6859"/>
    <w:rsid w:val="006E2BFA"/>
    <w:rsid w:val="006E4640"/>
    <w:rsid w:val="006E6917"/>
    <w:rsid w:val="006F0E34"/>
    <w:rsid w:val="00700858"/>
    <w:rsid w:val="0070411C"/>
    <w:rsid w:val="007101FE"/>
    <w:rsid w:val="007115DA"/>
    <w:rsid w:val="00713927"/>
    <w:rsid w:val="00717014"/>
    <w:rsid w:val="007236CF"/>
    <w:rsid w:val="00730753"/>
    <w:rsid w:val="00730924"/>
    <w:rsid w:val="00731374"/>
    <w:rsid w:val="00741BBF"/>
    <w:rsid w:val="0075025E"/>
    <w:rsid w:val="00750BE2"/>
    <w:rsid w:val="00752A24"/>
    <w:rsid w:val="007547C7"/>
    <w:rsid w:val="0076124D"/>
    <w:rsid w:val="0076664A"/>
    <w:rsid w:val="0077397E"/>
    <w:rsid w:val="007822A6"/>
    <w:rsid w:val="00783C5E"/>
    <w:rsid w:val="00785DB4"/>
    <w:rsid w:val="00786185"/>
    <w:rsid w:val="007913CA"/>
    <w:rsid w:val="00795B9D"/>
    <w:rsid w:val="007A0C48"/>
    <w:rsid w:val="007A3FC5"/>
    <w:rsid w:val="007A7F91"/>
    <w:rsid w:val="007B78A2"/>
    <w:rsid w:val="007C5CD1"/>
    <w:rsid w:val="007C7D79"/>
    <w:rsid w:val="007D24E7"/>
    <w:rsid w:val="007D41D0"/>
    <w:rsid w:val="007E08D3"/>
    <w:rsid w:val="007E0DE0"/>
    <w:rsid w:val="007E1F17"/>
    <w:rsid w:val="007E3A88"/>
    <w:rsid w:val="007E4A14"/>
    <w:rsid w:val="007E662C"/>
    <w:rsid w:val="007E66CF"/>
    <w:rsid w:val="007E6B40"/>
    <w:rsid w:val="007F0AA3"/>
    <w:rsid w:val="0080148E"/>
    <w:rsid w:val="00804E6E"/>
    <w:rsid w:val="00805A03"/>
    <w:rsid w:val="00814751"/>
    <w:rsid w:val="008156DA"/>
    <w:rsid w:val="00815F3D"/>
    <w:rsid w:val="008173FE"/>
    <w:rsid w:val="008217BA"/>
    <w:rsid w:val="00823429"/>
    <w:rsid w:val="00823EE1"/>
    <w:rsid w:val="00835D62"/>
    <w:rsid w:val="0083690F"/>
    <w:rsid w:val="0084203C"/>
    <w:rsid w:val="00846A54"/>
    <w:rsid w:val="008604D9"/>
    <w:rsid w:val="00877147"/>
    <w:rsid w:val="00881877"/>
    <w:rsid w:val="008832CF"/>
    <w:rsid w:val="00887E5E"/>
    <w:rsid w:val="008A0AFB"/>
    <w:rsid w:val="008A1FFD"/>
    <w:rsid w:val="008A5C60"/>
    <w:rsid w:val="008B06C7"/>
    <w:rsid w:val="008B5122"/>
    <w:rsid w:val="008C441D"/>
    <w:rsid w:val="008C5AE1"/>
    <w:rsid w:val="008C674A"/>
    <w:rsid w:val="008C72B4"/>
    <w:rsid w:val="008C7EEC"/>
    <w:rsid w:val="008D081C"/>
    <w:rsid w:val="008D6F11"/>
    <w:rsid w:val="008D7E78"/>
    <w:rsid w:val="008E6217"/>
    <w:rsid w:val="008E7BF5"/>
    <w:rsid w:val="008F278A"/>
    <w:rsid w:val="008F4D23"/>
    <w:rsid w:val="008F61D0"/>
    <w:rsid w:val="00901779"/>
    <w:rsid w:val="0090219C"/>
    <w:rsid w:val="0090360C"/>
    <w:rsid w:val="00903707"/>
    <w:rsid w:val="00912D44"/>
    <w:rsid w:val="00913147"/>
    <w:rsid w:val="0092064E"/>
    <w:rsid w:val="0092178E"/>
    <w:rsid w:val="00923115"/>
    <w:rsid w:val="009241DC"/>
    <w:rsid w:val="00924971"/>
    <w:rsid w:val="009265A9"/>
    <w:rsid w:val="0092691A"/>
    <w:rsid w:val="00927EFE"/>
    <w:rsid w:val="009333E5"/>
    <w:rsid w:val="00934EE1"/>
    <w:rsid w:val="00942510"/>
    <w:rsid w:val="009433A8"/>
    <w:rsid w:val="00945A5A"/>
    <w:rsid w:val="009653A6"/>
    <w:rsid w:val="00965402"/>
    <w:rsid w:val="00973447"/>
    <w:rsid w:val="00974420"/>
    <w:rsid w:val="00974AED"/>
    <w:rsid w:val="00985E86"/>
    <w:rsid w:val="00991F95"/>
    <w:rsid w:val="00994D49"/>
    <w:rsid w:val="009969DA"/>
    <w:rsid w:val="009B29DA"/>
    <w:rsid w:val="009B333E"/>
    <w:rsid w:val="009B5A02"/>
    <w:rsid w:val="009C141B"/>
    <w:rsid w:val="009C57E5"/>
    <w:rsid w:val="009C6E85"/>
    <w:rsid w:val="009D3495"/>
    <w:rsid w:val="009D53B3"/>
    <w:rsid w:val="009D5D09"/>
    <w:rsid w:val="009D5D29"/>
    <w:rsid w:val="009D6F67"/>
    <w:rsid w:val="009E36E3"/>
    <w:rsid w:val="009E4170"/>
    <w:rsid w:val="009E7C88"/>
    <w:rsid w:val="009E7CFC"/>
    <w:rsid w:val="009F3DBE"/>
    <w:rsid w:val="009F7722"/>
    <w:rsid w:val="009F77E0"/>
    <w:rsid w:val="00A0316D"/>
    <w:rsid w:val="00A0380F"/>
    <w:rsid w:val="00A0696B"/>
    <w:rsid w:val="00A21FD5"/>
    <w:rsid w:val="00A22D24"/>
    <w:rsid w:val="00A23528"/>
    <w:rsid w:val="00A32C23"/>
    <w:rsid w:val="00A46FAB"/>
    <w:rsid w:val="00A543F1"/>
    <w:rsid w:val="00A56575"/>
    <w:rsid w:val="00A56947"/>
    <w:rsid w:val="00A569C2"/>
    <w:rsid w:val="00A6421C"/>
    <w:rsid w:val="00A724FB"/>
    <w:rsid w:val="00A75C4A"/>
    <w:rsid w:val="00A826BA"/>
    <w:rsid w:val="00A831C5"/>
    <w:rsid w:val="00A8383B"/>
    <w:rsid w:val="00A845FA"/>
    <w:rsid w:val="00A85D17"/>
    <w:rsid w:val="00AA378D"/>
    <w:rsid w:val="00AB1B44"/>
    <w:rsid w:val="00AB24BC"/>
    <w:rsid w:val="00AB4B01"/>
    <w:rsid w:val="00AC2B1F"/>
    <w:rsid w:val="00AC39F4"/>
    <w:rsid w:val="00AD170B"/>
    <w:rsid w:val="00AD41D1"/>
    <w:rsid w:val="00AE2071"/>
    <w:rsid w:val="00AE6018"/>
    <w:rsid w:val="00AE781A"/>
    <w:rsid w:val="00AF5256"/>
    <w:rsid w:val="00AF5C23"/>
    <w:rsid w:val="00AF6F5A"/>
    <w:rsid w:val="00AF74B0"/>
    <w:rsid w:val="00B0088E"/>
    <w:rsid w:val="00B10896"/>
    <w:rsid w:val="00B132E3"/>
    <w:rsid w:val="00B14187"/>
    <w:rsid w:val="00B16C90"/>
    <w:rsid w:val="00B17601"/>
    <w:rsid w:val="00B25326"/>
    <w:rsid w:val="00B31A27"/>
    <w:rsid w:val="00B332E0"/>
    <w:rsid w:val="00B34923"/>
    <w:rsid w:val="00B3617A"/>
    <w:rsid w:val="00B40292"/>
    <w:rsid w:val="00B4376D"/>
    <w:rsid w:val="00B45173"/>
    <w:rsid w:val="00B4559A"/>
    <w:rsid w:val="00B4571B"/>
    <w:rsid w:val="00B51F50"/>
    <w:rsid w:val="00B53B35"/>
    <w:rsid w:val="00B62C68"/>
    <w:rsid w:val="00B650AF"/>
    <w:rsid w:val="00B65360"/>
    <w:rsid w:val="00B72C73"/>
    <w:rsid w:val="00B771FE"/>
    <w:rsid w:val="00B83148"/>
    <w:rsid w:val="00B84F24"/>
    <w:rsid w:val="00B9379F"/>
    <w:rsid w:val="00B96392"/>
    <w:rsid w:val="00B97E4D"/>
    <w:rsid w:val="00BA609B"/>
    <w:rsid w:val="00BA7002"/>
    <w:rsid w:val="00BB0F78"/>
    <w:rsid w:val="00BB4F90"/>
    <w:rsid w:val="00BC010D"/>
    <w:rsid w:val="00BC1DE4"/>
    <w:rsid w:val="00BC785E"/>
    <w:rsid w:val="00BD1E29"/>
    <w:rsid w:val="00BD4D5A"/>
    <w:rsid w:val="00BE1208"/>
    <w:rsid w:val="00BF03EF"/>
    <w:rsid w:val="00BF1C7C"/>
    <w:rsid w:val="00BF3AC5"/>
    <w:rsid w:val="00BF67CE"/>
    <w:rsid w:val="00BF7DAE"/>
    <w:rsid w:val="00C02490"/>
    <w:rsid w:val="00C02BC5"/>
    <w:rsid w:val="00C040B0"/>
    <w:rsid w:val="00C05E86"/>
    <w:rsid w:val="00C060EA"/>
    <w:rsid w:val="00C07325"/>
    <w:rsid w:val="00C129C4"/>
    <w:rsid w:val="00C17F12"/>
    <w:rsid w:val="00C225CF"/>
    <w:rsid w:val="00C230A4"/>
    <w:rsid w:val="00C260DF"/>
    <w:rsid w:val="00C278C2"/>
    <w:rsid w:val="00C30F0D"/>
    <w:rsid w:val="00C32367"/>
    <w:rsid w:val="00C32ED4"/>
    <w:rsid w:val="00C37C50"/>
    <w:rsid w:val="00C45D8B"/>
    <w:rsid w:val="00C46350"/>
    <w:rsid w:val="00C50FFE"/>
    <w:rsid w:val="00C52613"/>
    <w:rsid w:val="00C54398"/>
    <w:rsid w:val="00C5567E"/>
    <w:rsid w:val="00C56593"/>
    <w:rsid w:val="00C60C00"/>
    <w:rsid w:val="00C64C66"/>
    <w:rsid w:val="00C77374"/>
    <w:rsid w:val="00C82D64"/>
    <w:rsid w:val="00C864B4"/>
    <w:rsid w:val="00C87733"/>
    <w:rsid w:val="00CA26F9"/>
    <w:rsid w:val="00CA3791"/>
    <w:rsid w:val="00CA3EAF"/>
    <w:rsid w:val="00CA4FCF"/>
    <w:rsid w:val="00CB1CDB"/>
    <w:rsid w:val="00CB4C02"/>
    <w:rsid w:val="00CB651B"/>
    <w:rsid w:val="00CB66E2"/>
    <w:rsid w:val="00CC3DF4"/>
    <w:rsid w:val="00CC4E44"/>
    <w:rsid w:val="00CD261A"/>
    <w:rsid w:val="00CF257A"/>
    <w:rsid w:val="00D0148C"/>
    <w:rsid w:val="00D03633"/>
    <w:rsid w:val="00D05B0B"/>
    <w:rsid w:val="00D12B7D"/>
    <w:rsid w:val="00D22441"/>
    <w:rsid w:val="00D24358"/>
    <w:rsid w:val="00D2647B"/>
    <w:rsid w:val="00D30ABC"/>
    <w:rsid w:val="00D33485"/>
    <w:rsid w:val="00D375C0"/>
    <w:rsid w:val="00D40656"/>
    <w:rsid w:val="00D57D56"/>
    <w:rsid w:val="00D6135A"/>
    <w:rsid w:val="00D64460"/>
    <w:rsid w:val="00D64E19"/>
    <w:rsid w:val="00D677C7"/>
    <w:rsid w:val="00D74AF8"/>
    <w:rsid w:val="00D855F9"/>
    <w:rsid w:val="00D95C1B"/>
    <w:rsid w:val="00D95E33"/>
    <w:rsid w:val="00D97753"/>
    <w:rsid w:val="00DA0346"/>
    <w:rsid w:val="00DA3CC5"/>
    <w:rsid w:val="00DA494D"/>
    <w:rsid w:val="00DC3328"/>
    <w:rsid w:val="00DC33CE"/>
    <w:rsid w:val="00DC6ECD"/>
    <w:rsid w:val="00DD0BE2"/>
    <w:rsid w:val="00DD2194"/>
    <w:rsid w:val="00DD23CB"/>
    <w:rsid w:val="00DD48FD"/>
    <w:rsid w:val="00DD4A28"/>
    <w:rsid w:val="00DD50CC"/>
    <w:rsid w:val="00DE15A1"/>
    <w:rsid w:val="00DE32A5"/>
    <w:rsid w:val="00DE6B84"/>
    <w:rsid w:val="00DF07C1"/>
    <w:rsid w:val="00DF198A"/>
    <w:rsid w:val="00DF474D"/>
    <w:rsid w:val="00DF6923"/>
    <w:rsid w:val="00DF6AC4"/>
    <w:rsid w:val="00E04875"/>
    <w:rsid w:val="00E1033B"/>
    <w:rsid w:val="00E1126C"/>
    <w:rsid w:val="00E16B46"/>
    <w:rsid w:val="00E22419"/>
    <w:rsid w:val="00E26CE4"/>
    <w:rsid w:val="00E30B15"/>
    <w:rsid w:val="00E315EA"/>
    <w:rsid w:val="00E35185"/>
    <w:rsid w:val="00E37477"/>
    <w:rsid w:val="00E37C95"/>
    <w:rsid w:val="00E4254B"/>
    <w:rsid w:val="00E50AD4"/>
    <w:rsid w:val="00E6535D"/>
    <w:rsid w:val="00E67BDE"/>
    <w:rsid w:val="00E7128F"/>
    <w:rsid w:val="00E737BC"/>
    <w:rsid w:val="00E8538B"/>
    <w:rsid w:val="00E85C53"/>
    <w:rsid w:val="00E9179A"/>
    <w:rsid w:val="00E92169"/>
    <w:rsid w:val="00E92578"/>
    <w:rsid w:val="00E92C93"/>
    <w:rsid w:val="00E95023"/>
    <w:rsid w:val="00EA0B0B"/>
    <w:rsid w:val="00EA1F96"/>
    <w:rsid w:val="00EA61AB"/>
    <w:rsid w:val="00EA705C"/>
    <w:rsid w:val="00EB608D"/>
    <w:rsid w:val="00EB6268"/>
    <w:rsid w:val="00EC3147"/>
    <w:rsid w:val="00EC4004"/>
    <w:rsid w:val="00EC58D7"/>
    <w:rsid w:val="00EC6979"/>
    <w:rsid w:val="00ED1227"/>
    <w:rsid w:val="00ED3BE0"/>
    <w:rsid w:val="00ED6759"/>
    <w:rsid w:val="00ED6F99"/>
    <w:rsid w:val="00EE2255"/>
    <w:rsid w:val="00EE25A9"/>
    <w:rsid w:val="00EF08D5"/>
    <w:rsid w:val="00EF6CBA"/>
    <w:rsid w:val="00F03BB8"/>
    <w:rsid w:val="00F2368F"/>
    <w:rsid w:val="00F24458"/>
    <w:rsid w:val="00F25251"/>
    <w:rsid w:val="00F2746B"/>
    <w:rsid w:val="00F31AEE"/>
    <w:rsid w:val="00F3293C"/>
    <w:rsid w:val="00F44FA0"/>
    <w:rsid w:val="00F54A10"/>
    <w:rsid w:val="00F54AAB"/>
    <w:rsid w:val="00F566FF"/>
    <w:rsid w:val="00F6558C"/>
    <w:rsid w:val="00F75E1E"/>
    <w:rsid w:val="00F8050B"/>
    <w:rsid w:val="00F84F49"/>
    <w:rsid w:val="00F85325"/>
    <w:rsid w:val="00F872CA"/>
    <w:rsid w:val="00F87A71"/>
    <w:rsid w:val="00F969B1"/>
    <w:rsid w:val="00FA141F"/>
    <w:rsid w:val="00FA2433"/>
    <w:rsid w:val="00FA611A"/>
    <w:rsid w:val="00FB1E56"/>
    <w:rsid w:val="00FB2427"/>
    <w:rsid w:val="00FB508B"/>
    <w:rsid w:val="00FB7EDC"/>
    <w:rsid w:val="00FC373A"/>
    <w:rsid w:val="00FD47F3"/>
    <w:rsid w:val="00FD52EF"/>
    <w:rsid w:val="00FE3385"/>
    <w:rsid w:val="00FE614F"/>
    <w:rsid w:val="00FE62F8"/>
    <w:rsid w:val="00FE708A"/>
    <w:rsid w:val="00FE7890"/>
    <w:rsid w:val="00FF03CE"/>
    <w:rsid w:val="0531D654"/>
    <w:rsid w:val="0804D6EC"/>
    <w:rsid w:val="0921F0AA"/>
    <w:rsid w:val="0D2B25F2"/>
    <w:rsid w:val="0DFB17B6"/>
    <w:rsid w:val="11EB7365"/>
    <w:rsid w:val="12B16155"/>
    <w:rsid w:val="1E674835"/>
    <w:rsid w:val="26B20B48"/>
    <w:rsid w:val="28D7FED8"/>
    <w:rsid w:val="2FA3E2A3"/>
    <w:rsid w:val="33F2131C"/>
    <w:rsid w:val="35DF0470"/>
    <w:rsid w:val="3CDE1F19"/>
    <w:rsid w:val="41BA4E6E"/>
    <w:rsid w:val="4299696A"/>
    <w:rsid w:val="46A47351"/>
    <w:rsid w:val="48C0051B"/>
    <w:rsid w:val="496D6996"/>
    <w:rsid w:val="52F2A334"/>
    <w:rsid w:val="630D0674"/>
    <w:rsid w:val="63AAB309"/>
    <w:rsid w:val="63C08514"/>
    <w:rsid w:val="69A23969"/>
    <w:rsid w:val="6C03452F"/>
    <w:rsid w:val="7CD73A2D"/>
    <w:rsid w:val="7F60B8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BF1DE"/>
  <w15:chartTrackingRefBased/>
  <w15:docId w15:val="{4A8C92CF-BF76-484C-B2FF-41C7AC2E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1">
    <w:name w:val="heading 1"/>
    <w:aliases w:val="TITLE"/>
    <w:basedOn w:val="Normal"/>
    <w:next w:val="Normal"/>
    <w:qFormat/>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b/>
    </w:rPr>
  </w:style>
  <w:style w:type="paragraph" w:styleId="Heading2">
    <w:name w:val="heading 2"/>
    <w:basedOn w:val="Normal"/>
    <w:next w:val="Normal"/>
    <w:qFormat/>
    <w:pPr>
      <w:keepNext/>
      <w:ind w:right="-443"/>
      <w:outlineLvl w:val="1"/>
    </w:pPr>
    <w:rPr>
      <w:b/>
      <w:snapToGrid w:val="0"/>
      <w:lang w:eastAsia="en-US"/>
    </w:rPr>
  </w:style>
  <w:style w:type="paragraph" w:styleId="Heading3">
    <w:name w:val="heading 3"/>
    <w:basedOn w:val="Normal"/>
    <w:next w:val="Normal"/>
    <w:qFormat/>
    <w:pPr>
      <w:keepNext/>
      <w:outlineLvl w:val="2"/>
    </w:pPr>
    <w:rPr>
      <w:b/>
      <w:snapToGrid w:val="0"/>
      <w:u w:val="single"/>
      <w:lang w:eastAsia="en-US"/>
    </w:rPr>
  </w:style>
  <w:style w:type="paragraph" w:styleId="Heading4">
    <w:name w:val="heading 4"/>
    <w:basedOn w:val="Normal"/>
    <w:next w:val="Normal"/>
    <w:qFormat/>
    <w:pPr>
      <w:keepNext/>
      <w:ind w:left="567" w:hanging="567"/>
      <w:outlineLvl w:val="3"/>
    </w:pPr>
    <w:rPr>
      <w:b/>
    </w:rPr>
  </w:style>
  <w:style w:type="paragraph" w:styleId="Heading5">
    <w:name w:val="heading 5"/>
    <w:basedOn w:val="Normal"/>
    <w:next w:val="Normal"/>
    <w:qFormat/>
    <w:pPr>
      <w:keepNext/>
      <w:ind w:left="2880" w:hanging="2880"/>
      <w:outlineLvl w:val="4"/>
    </w:pPr>
    <w:rPr>
      <w:b/>
    </w:rPr>
  </w:style>
  <w:style w:type="paragraph" w:styleId="Heading6">
    <w:name w:val="heading 6"/>
    <w:basedOn w:val="Normal"/>
    <w:next w:val="Normal"/>
    <w:qFormat/>
    <w:pPr>
      <w:keepNext/>
      <w:tabs>
        <w:tab w:val="left" w:pos="3119"/>
      </w:tabs>
      <w:ind w:left="720" w:firstLine="720"/>
      <w:outlineLvl w:val="5"/>
    </w:pPr>
    <w:rPr>
      <w:b/>
    </w:rPr>
  </w:style>
  <w:style w:type="paragraph" w:styleId="Heading7">
    <w:name w:val="heading 7"/>
    <w:basedOn w:val="Normal"/>
    <w:next w:val="Normal"/>
    <w:qFormat/>
    <w:pPr>
      <w:keepNext/>
      <w:tabs>
        <w:tab w:val="left" w:pos="6096"/>
      </w:tabs>
      <w:outlineLvl w:val="6"/>
    </w:pPr>
  </w:style>
  <w:style w:type="paragraph" w:styleId="Heading8">
    <w:name w:val="heading 8"/>
    <w:basedOn w:val="Normal"/>
    <w:next w:val="Normal"/>
    <w:qFormat/>
    <w:pPr>
      <w:keepNext/>
      <w:outlineLvl w:val="7"/>
    </w:pPr>
    <w:rPr>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napToGrid w:val="0"/>
      <w:lang w:eastAsia="en-US"/>
    </w:rPr>
  </w:style>
  <w:style w:type="paragraph" w:styleId="BodyText2">
    <w:name w:val="Body Text 2"/>
    <w:basedOn w:val="Normal"/>
    <w:pPr>
      <w:tabs>
        <w:tab w:val="left" w:pos="6096"/>
      </w:tabs>
    </w:pPr>
  </w:style>
  <w:style w:type="paragraph" w:styleId="BodyTextIndent">
    <w:name w:val="Body Text Indent"/>
    <w:basedOn w:val="Normal"/>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b/>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A213D"/>
    <w:pPr>
      <w:tabs>
        <w:tab w:val="center" w:pos="4153"/>
        <w:tab w:val="right" w:pos="8306"/>
      </w:tabs>
    </w:pPr>
  </w:style>
  <w:style w:type="paragraph" w:styleId="Footer">
    <w:name w:val="footer"/>
    <w:basedOn w:val="Normal"/>
    <w:rsid w:val="004A213D"/>
    <w:pPr>
      <w:tabs>
        <w:tab w:val="center" w:pos="4153"/>
        <w:tab w:val="right" w:pos="8306"/>
      </w:tabs>
    </w:pPr>
  </w:style>
  <w:style w:type="character" w:styleId="CommentReference">
    <w:name w:val="annotation reference"/>
    <w:semiHidden/>
    <w:rsid w:val="00C82D64"/>
    <w:rPr>
      <w:sz w:val="16"/>
      <w:szCs w:val="16"/>
    </w:rPr>
  </w:style>
  <w:style w:type="paragraph" w:styleId="CommentText">
    <w:name w:val="annotation text"/>
    <w:basedOn w:val="Normal"/>
    <w:semiHidden/>
    <w:rsid w:val="00C82D64"/>
    <w:rPr>
      <w:sz w:val="20"/>
      <w:szCs w:val="20"/>
    </w:rPr>
  </w:style>
  <w:style w:type="paragraph" w:styleId="CommentSubject">
    <w:name w:val="annotation subject"/>
    <w:basedOn w:val="CommentText"/>
    <w:next w:val="CommentText"/>
    <w:semiHidden/>
    <w:rsid w:val="00C82D64"/>
    <w:rPr>
      <w:b/>
      <w:bCs/>
    </w:rPr>
  </w:style>
  <w:style w:type="paragraph" w:styleId="BalloonText">
    <w:name w:val="Balloon Text"/>
    <w:basedOn w:val="Normal"/>
    <w:semiHidden/>
    <w:rsid w:val="00C82D64"/>
    <w:rPr>
      <w:rFonts w:ascii="Tahoma" w:hAnsi="Tahoma" w:cs="Tahoma"/>
      <w:sz w:val="16"/>
      <w:szCs w:val="16"/>
    </w:rPr>
  </w:style>
  <w:style w:type="character" w:styleId="PageNumber">
    <w:name w:val="page number"/>
    <w:basedOn w:val="DefaultParagraphFont"/>
    <w:rsid w:val="008A1FFD"/>
  </w:style>
  <w:style w:type="paragraph" w:styleId="ListParagraph">
    <w:name w:val="List Paragraph"/>
    <w:basedOn w:val="Normal"/>
    <w:uiPriority w:val="34"/>
    <w:qFormat/>
    <w:rsid w:val="00B25326"/>
    <w:pPr>
      <w:ind w:left="720"/>
      <w:contextualSpacing/>
    </w:pPr>
  </w:style>
  <w:style w:type="paragraph" w:customStyle="1" w:styleId="4Bulletedcopyblue">
    <w:name w:val="4 Bulleted copy blue"/>
    <w:basedOn w:val="Normal"/>
    <w:qFormat/>
    <w:rsid w:val="003C7DFB"/>
    <w:pPr>
      <w:numPr>
        <w:numId w:val="4"/>
      </w:numPr>
      <w:spacing w:after="60"/>
    </w:pPr>
    <w:rPr>
      <w:rFonts w:eastAsia="MS Mincho"/>
      <w:sz w:val="20"/>
      <w:szCs w:val="20"/>
      <w:lang w:val="en-US" w:eastAsia="en-US"/>
    </w:rPr>
  </w:style>
  <w:style w:type="paragraph" w:customStyle="1" w:styleId="1bodycopy10pt">
    <w:name w:val="1 body copy 10pt"/>
    <w:basedOn w:val="Normal"/>
    <w:link w:val="1bodycopy10ptChar"/>
    <w:qFormat/>
    <w:rsid w:val="003C7DFB"/>
    <w:pPr>
      <w:spacing w:after="120"/>
    </w:pPr>
    <w:rPr>
      <w:rFonts w:eastAsia="MS Mincho" w:cs="Times New Roman"/>
      <w:sz w:val="20"/>
      <w:lang w:val="en-US" w:eastAsia="en-US"/>
    </w:rPr>
  </w:style>
  <w:style w:type="character" w:customStyle="1" w:styleId="1bodycopy10ptChar">
    <w:name w:val="1 body copy 10pt Char"/>
    <w:link w:val="1bodycopy10pt"/>
    <w:rsid w:val="003C7DFB"/>
    <w:rPr>
      <w:rFonts w:ascii="Arial" w:eastAsia="MS Mincho" w:hAnsi="Arial"/>
      <w:szCs w:val="24"/>
      <w:lang w:val="en-US" w:eastAsia="en-US"/>
    </w:rPr>
  </w:style>
  <w:style w:type="paragraph" w:customStyle="1" w:styleId="Tablebodycopy">
    <w:name w:val="Table body copy"/>
    <w:basedOn w:val="1bodycopy10pt"/>
    <w:qFormat/>
    <w:rsid w:val="003C7DFB"/>
    <w:pPr>
      <w:keepLines/>
      <w:spacing w:after="60"/>
      <w:textboxTightWrap w:val="allLines"/>
    </w:pPr>
  </w:style>
  <w:style w:type="paragraph" w:customStyle="1" w:styleId="Sub-heading">
    <w:name w:val="Sub-heading"/>
    <w:basedOn w:val="BodyText"/>
    <w:link w:val="Sub-headingChar"/>
    <w:qFormat/>
    <w:rsid w:val="003C7DFB"/>
    <w:pPr>
      <w:spacing w:after="120"/>
    </w:pPr>
    <w:rPr>
      <w:rFonts w:eastAsia="MS Mincho"/>
      <w:snapToGrid/>
      <w:sz w:val="20"/>
      <w:szCs w:val="20"/>
      <w:lang w:val="en-US"/>
    </w:rPr>
  </w:style>
  <w:style w:type="character" w:customStyle="1" w:styleId="Sub-headingChar">
    <w:name w:val="Sub-heading Char"/>
    <w:link w:val="Sub-heading"/>
    <w:rsid w:val="003C7DFB"/>
    <w:rPr>
      <w:rFonts w:ascii="Arial" w:eastAsia="MS Mincho" w:hAnsi="Arial" w:cs="Arial"/>
      <w:b/>
      <w:lang w:val="en-US" w:eastAsia="en-US"/>
    </w:rPr>
  </w:style>
  <w:style w:type="paragraph" w:customStyle="1" w:styleId="Default">
    <w:name w:val="Default"/>
    <w:rsid w:val="00611075"/>
    <w:pPr>
      <w:autoSpaceDE w:val="0"/>
      <w:autoSpaceDN w:val="0"/>
      <w:adjustRightInd w:val="0"/>
    </w:pPr>
    <w:rPr>
      <w:rFonts w:ascii="Arial" w:hAnsi="Arial" w:cs="Arial"/>
      <w:color w:val="000000"/>
      <w:sz w:val="24"/>
      <w:szCs w:val="24"/>
    </w:rPr>
  </w:style>
  <w:style w:type="paragraph" w:customStyle="1" w:styleId="paragraph">
    <w:name w:val="paragraph"/>
    <w:basedOn w:val="Normal"/>
    <w:rsid w:val="00CA4FCF"/>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CA4FCF"/>
  </w:style>
  <w:style w:type="character" w:customStyle="1" w:styleId="eop">
    <w:name w:val="eop"/>
    <w:basedOn w:val="DefaultParagraphFont"/>
    <w:rsid w:val="00CA4FCF"/>
  </w:style>
  <w:style w:type="paragraph" w:styleId="Quote">
    <w:name w:val="Quote"/>
    <w:basedOn w:val="Normal"/>
    <w:next w:val="Normal"/>
    <w:link w:val="QuoteChar"/>
    <w:uiPriority w:val="29"/>
    <w:qFormat/>
    <w:rsid w:val="00E16B4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16B46"/>
    <w:rPr>
      <w:rFonts w:asciiTheme="minorHAnsi" w:eastAsiaTheme="minorHAnsi" w:hAnsiTheme="minorHAnsi" w:cstheme="minorBidi"/>
      <w:i/>
      <w:iCs/>
      <w:color w:val="404040" w:themeColor="text1" w:themeTint="BF"/>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1125">
      <w:bodyDiv w:val="1"/>
      <w:marLeft w:val="0"/>
      <w:marRight w:val="0"/>
      <w:marTop w:val="0"/>
      <w:marBottom w:val="0"/>
      <w:divBdr>
        <w:top w:val="none" w:sz="0" w:space="0" w:color="auto"/>
        <w:left w:val="none" w:sz="0" w:space="0" w:color="auto"/>
        <w:bottom w:val="none" w:sz="0" w:space="0" w:color="auto"/>
        <w:right w:val="none" w:sz="0" w:space="0" w:color="auto"/>
      </w:divBdr>
      <w:divsChild>
        <w:div w:id="1757363809">
          <w:marLeft w:val="0"/>
          <w:marRight w:val="0"/>
          <w:marTop w:val="0"/>
          <w:marBottom w:val="0"/>
          <w:divBdr>
            <w:top w:val="none" w:sz="0" w:space="0" w:color="auto"/>
            <w:left w:val="none" w:sz="0" w:space="0" w:color="auto"/>
            <w:bottom w:val="none" w:sz="0" w:space="0" w:color="auto"/>
            <w:right w:val="none" w:sz="0" w:space="0" w:color="auto"/>
          </w:divBdr>
          <w:divsChild>
            <w:div w:id="879976390">
              <w:marLeft w:val="0"/>
              <w:marRight w:val="0"/>
              <w:marTop w:val="0"/>
              <w:marBottom w:val="0"/>
              <w:divBdr>
                <w:top w:val="none" w:sz="0" w:space="0" w:color="auto"/>
                <w:left w:val="none" w:sz="0" w:space="0" w:color="auto"/>
                <w:bottom w:val="none" w:sz="0" w:space="0" w:color="auto"/>
                <w:right w:val="none" w:sz="0" w:space="0" w:color="auto"/>
              </w:divBdr>
            </w:div>
          </w:divsChild>
        </w:div>
        <w:div w:id="1931965265">
          <w:marLeft w:val="0"/>
          <w:marRight w:val="0"/>
          <w:marTop w:val="0"/>
          <w:marBottom w:val="0"/>
          <w:divBdr>
            <w:top w:val="none" w:sz="0" w:space="0" w:color="auto"/>
            <w:left w:val="none" w:sz="0" w:space="0" w:color="auto"/>
            <w:bottom w:val="none" w:sz="0" w:space="0" w:color="auto"/>
            <w:right w:val="none" w:sz="0" w:space="0" w:color="auto"/>
          </w:divBdr>
          <w:divsChild>
            <w:div w:id="244538730">
              <w:marLeft w:val="0"/>
              <w:marRight w:val="0"/>
              <w:marTop w:val="0"/>
              <w:marBottom w:val="0"/>
              <w:divBdr>
                <w:top w:val="none" w:sz="0" w:space="0" w:color="auto"/>
                <w:left w:val="none" w:sz="0" w:space="0" w:color="auto"/>
                <w:bottom w:val="none" w:sz="0" w:space="0" w:color="auto"/>
                <w:right w:val="none" w:sz="0" w:space="0" w:color="auto"/>
              </w:divBdr>
            </w:div>
          </w:divsChild>
        </w:div>
        <w:div w:id="2029479067">
          <w:marLeft w:val="0"/>
          <w:marRight w:val="0"/>
          <w:marTop w:val="0"/>
          <w:marBottom w:val="0"/>
          <w:divBdr>
            <w:top w:val="none" w:sz="0" w:space="0" w:color="auto"/>
            <w:left w:val="none" w:sz="0" w:space="0" w:color="auto"/>
            <w:bottom w:val="none" w:sz="0" w:space="0" w:color="auto"/>
            <w:right w:val="none" w:sz="0" w:space="0" w:color="auto"/>
          </w:divBdr>
          <w:divsChild>
            <w:div w:id="53407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6873">
      <w:bodyDiv w:val="1"/>
      <w:marLeft w:val="0"/>
      <w:marRight w:val="0"/>
      <w:marTop w:val="0"/>
      <w:marBottom w:val="0"/>
      <w:divBdr>
        <w:top w:val="none" w:sz="0" w:space="0" w:color="auto"/>
        <w:left w:val="none" w:sz="0" w:space="0" w:color="auto"/>
        <w:bottom w:val="none" w:sz="0" w:space="0" w:color="auto"/>
        <w:right w:val="none" w:sz="0" w:space="0" w:color="auto"/>
      </w:divBdr>
    </w:div>
    <w:div w:id="441537803">
      <w:bodyDiv w:val="1"/>
      <w:marLeft w:val="0"/>
      <w:marRight w:val="0"/>
      <w:marTop w:val="0"/>
      <w:marBottom w:val="0"/>
      <w:divBdr>
        <w:top w:val="none" w:sz="0" w:space="0" w:color="auto"/>
        <w:left w:val="none" w:sz="0" w:space="0" w:color="auto"/>
        <w:bottom w:val="none" w:sz="0" w:space="0" w:color="auto"/>
        <w:right w:val="none" w:sz="0" w:space="0" w:color="auto"/>
      </w:divBdr>
    </w:div>
    <w:div w:id="579025865">
      <w:bodyDiv w:val="1"/>
      <w:marLeft w:val="0"/>
      <w:marRight w:val="0"/>
      <w:marTop w:val="0"/>
      <w:marBottom w:val="0"/>
      <w:divBdr>
        <w:top w:val="none" w:sz="0" w:space="0" w:color="auto"/>
        <w:left w:val="none" w:sz="0" w:space="0" w:color="auto"/>
        <w:bottom w:val="none" w:sz="0" w:space="0" w:color="auto"/>
        <w:right w:val="none" w:sz="0" w:space="0" w:color="auto"/>
      </w:divBdr>
    </w:div>
    <w:div w:id="1473913216">
      <w:bodyDiv w:val="1"/>
      <w:marLeft w:val="0"/>
      <w:marRight w:val="0"/>
      <w:marTop w:val="0"/>
      <w:marBottom w:val="0"/>
      <w:divBdr>
        <w:top w:val="none" w:sz="0" w:space="0" w:color="auto"/>
        <w:left w:val="none" w:sz="0" w:space="0" w:color="auto"/>
        <w:bottom w:val="none" w:sz="0" w:space="0" w:color="auto"/>
        <w:right w:val="none" w:sz="0" w:space="0" w:color="auto"/>
      </w:divBdr>
    </w:div>
    <w:div w:id="1474179930">
      <w:bodyDiv w:val="1"/>
      <w:marLeft w:val="0"/>
      <w:marRight w:val="0"/>
      <w:marTop w:val="0"/>
      <w:marBottom w:val="0"/>
      <w:divBdr>
        <w:top w:val="none" w:sz="0" w:space="0" w:color="auto"/>
        <w:left w:val="none" w:sz="0" w:space="0" w:color="auto"/>
        <w:bottom w:val="none" w:sz="0" w:space="0" w:color="auto"/>
        <w:right w:val="none" w:sz="0" w:space="0" w:color="auto"/>
      </w:divBdr>
    </w:div>
    <w:div w:id="178010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Geddes\The%20Fallibroome%20Trust\Trust%20Central%20Team%20-%20Documents\Human%20Resources\Job%20descriptions\Job%20Description%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7451fb-cf2e-483c-8df1-26a2a37ef30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BC3A180562D64486BD249B7E765C0B" ma:contentTypeVersion="1" ma:contentTypeDescription="Create a new document." ma:contentTypeScope="" ma:versionID="dcdd45a3fc0ac4ea872084f459b4217b">
  <xsd:schema xmlns:xsd="http://www.w3.org/2001/XMLSchema" xmlns:xs="http://www.w3.org/2001/XMLSchema" xmlns:p="http://schemas.microsoft.com/office/2006/metadata/properties" xmlns:ns2="febbe751-610d-447d-b9e6-4d21d6589d82" xmlns:ns3="e27451fb-cf2e-483c-8df1-26a2a37ef300" targetNamespace="http://schemas.microsoft.com/office/2006/metadata/properties" ma:root="true" ma:fieldsID="02cd8953de6077bbb6f9ac65da65b54e" ns2:_="" ns3:_="">
    <xsd:import namespace="febbe751-610d-447d-b9e6-4d21d6589d82"/>
    <xsd:import namespace="e27451fb-cf2e-483c-8df1-26a2a37ef3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be751-610d-447d-b9e6-4d21d6589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7451fb-cf2e-483c-8df1-26a2a37ef3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EC66F-917A-4E3A-A460-462BF8EBA24A}">
  <ds:schemaRefs>
    <ds:schemaRef ds:uri="http://schemas.microsoft.com/office/2006/metadata/properties"/>
    <ds:schemaRef ds:uri="http://schemas.microsoft.com/office/infopath/2007/PartnerControls"/>
    <ds:schemaRef ds:uri="e27451fb-cf2e-483c-8df1-26a2a37ef300"/>
  </ds:schemaRefs>
</ds:datastoreItem>
</file>

<file path=customXml/itemProps2.xml><?xml version="1.0" encoding="utf-8"?>
<ds:datastoreItem xmlns:ds="http://schemas.openxmlformats.org/officeDocument/2006/customXml" ds:itemID="{775AB708-925F-41C6-958E-A9F88C0CF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be751-610d-447d-b9e6-4d21d6589d82"/>
    <ds:schemaRef ds:uri="e27451fb-cf2e-483c-8df1-26a2a37ef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687B9-9B21-4C5D-8B25-7C24EE750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.dotx</Template>
  <TotalTime>67</TotalTime>
  <Pages>1</Pages>
  <Words>581</Words>
  <Characters>3313</Characters>
  <Application>Microsoft Office Word</Application>
  <DocSecurity>4</DocSecurity>
  <Lines>27</Lines>
  <Paragraphs>7</Paragraphs>
  <ScaleCrop>false</ScaleCrop>
  <Company>Gateway EMEA</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Geddes</dc:creator>
  <cp:keywords/>
  <cp:lastModifiedBy>Sian Geddes</cp:lastModifiedBy>
  <cp:revision>100</cp:revision>
  <cp:lastPrinted>2006-07-27T17:14:00Z</cp:lastPrinted>
  <dcterms:created xsi:type="dcterms:W3CDTF">2023-11-27T18:15:00Z</dcterms:created>
  <dcterms:modified xsi:type="dcterms:W3CDTF">2025-10-02T11:27:00Z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1970128331</vt:i4>
  </property>
  <property fmtid="{D5CDD505-2E9C-101B-9397-08002B2CF9AE}" pid="3" name="_EmailSubject">
    <vt:lpwstr>Jobs for the menu</vt:lpwstr>
  </property>
  <property fmtid="{D5CDD505-2E9C-101B-9397-08002B2CF9AE}" pid="4" name="_AuthorEmail">
    <vt:lpwstr>Catherine.Howard@cheshire.gov.uk</vt:lpwstr>
  </property>
  <property fmtid="{D5CDD505-2E9C-101B-9397-08002B2CF9AE}" pid="5" name="_AuthorEmailDisplayName">
    <vt:lpwstr>HOWARD, Catherine</vt:lpwstr>
  </property>
  <property fmtid="{D5CDD505-2E9C-101B-9397-08002B2CF9AE}" pid="6" name="_PreviousAdHocReviewCycleID">
    <vt:i4>569726314</vt:i4>
  </property>
  <property fmtid="{D5CDD505-2E9C-101B-9397-08002B2CF9AE}" pid="7" name="_ReviewingToolsShownOnce">
    <vt:lpwstr/>
  </property>
  <property fmtid="{D5CDD505-2E9C-101B-9397-08002B2CF9AE}" pid="8" name="ContentTypeId">
    <vt:lpwstr>0x01010059BC3A180562D64486BD249B7E765C0B</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Order">
    <vt:r8>180500</vt:r8>
  </property>
  <property fmtid="{D5CDD505-2E9C-101B-9397-08002B2CF9AE}" pid="17" name="MSIP_Label_defa4170-0d19-0005-0004-bc88714345d2_Enabled">
    <vt:lpwstr>true</vt:lpwstr>
  </property>
  <property fmtid="{D5CDD505-2E9C-101B-9397-08002B2CF9AE}" pid="18" name="MSIP_Label_defa4170-0d19-0005-0004-bc88714345d2_SetDate">
    <vt:lpwstr>2025-01-15T14:34:19Z</vt:lpwstr>
  </property>
  <property fmtid="{D5CDD505-2E9C-101B-9397-08002B2CF9AE}" pid="19" name="MSIP_Label_defa4170-0d19-0005-0004-bc88714345d2_Method">
    <vt:lpwstr>Standard</vt:lpwstr>
  </property>
  <property fmtid="{D5CDD505-2E9C-101B-9397-08002B2CF9AE}" pid="20" name="MSIP_Label_defa4170-0d19-0005-0004-bc88714345d2_Name">
    <vt:lpwstr>defa4170-0d19-0005-0004-bc88714345d2</vt:lpwstr>
  </property>
  <property fmtid="{D5CDD505-2E9C-101B-9397-08002B2CF9AE}" pid="21" name="MSIP_Label_defa4170-0d19-0005-0004-bc88714345d2_SiteId">
    <vt:lpwstr>96abb89b-1d06-4dc8-b583-e055a8a47269</vt:lpwstr>
  </property>
  <property fmtid="{D5CDD505-2E9C-101B-9397-08002B2CF9AE}" pid="22" name="MSIP_Label_defa4170-0d19-0005-0004-bc88714345d2_ActionId">
    <vt:lpwstr>234b242c-77ff-4967-9f3a-e8d43591eded</vt:lpwstr>
  </property>
  <property fmtid="{D5CDD505-2E9C-101B-9397-08002B2CF9AE}" pid="23" name="MSIP_Label_defa4170-0d19-0005-0004-bc88714345d2_ContentBits">
    <vt:lpwstr>0</vt:lpwstr>
  </property>
</Properties>
</file>